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hint="eastAsia" w:ascii="宋体"/>
          <w:b/>
          <w:sz w:val="44"/>
          <w:szCs w:val="44"/>
        </w:rPr>
      </w:pPr>
      <w:r>
        <w:rPr>
          <w:rFonts w:hint="eastAsia" w:ascii="宋体" w:hAnsi="宋体"/>
          <w:b/>
          <w:sz w:val="44"/>
          <w:szCs w:val="44"/>
        </w:rPr>
        <w:t>香河县物价</w:t>
      </w:r>
      <w:r>
        <w:rPr>
          <w:rFonts w:hint="eastAsia" w:ascii="宋体" w:hAnsi="宋体"/>
          <w:b/>
          <w:sz w:val="44"/>
          <w:szCs w:val="44"/>
          <w:lang w:val="en-US" w:eastAsia="zh-CN"/>
        </w:rPr>
        <w:t>局</w:t>
      </w:r>
      <w:r>
        <w:rPr>
          <w:rFonts w:ascii="宋体" w:hAnsi="宋体"/>
          <w:b/>
          <w:sz w:val="44"/>
          <w:szCs w:val="44"/>
        </w:rPr>
        <w:t>201</w:t>
      </w:r>
      <w:r>
        <w:rPr>
          <w:rFonts w:hint="eastAsia" w:ascii="宋体" w:hAnsi="宋体"/>
          <w:b/>
          <w:sz w:val="44"/>
          <w:szCs w:val="44"/>
          <w:lang w:val="en-US" w:eastAsia="zh-CN"/>
        </w:rPr>
        <w:t>7</w:t>
      </w:r>
      <w:r>
        <w:rPr>
          <w:rFonts w:hint="eastAsia" w:ascii="宋体" w:hAnsi="宋体"/>
          <w:b/>
          <w:sz w:val="44"/>
          <w:szCs w:val="44"/>
        </w:rPr>
        <w:t>年部门</w:t>
      </w:r>
      <w:r>
        <w:rPr>
          <w:rFonts w:hint="eastAsia" w:ascii="宋体" w:hAnsi="宋体"/>
          <w:b/>
          <w:sz w:val="44"/>
          <w:szCs w:val="44"/>
          <w:lang w:val="en-US" w:eastAsia="zh-CN"/>
        </w:rPr>
        <w:t>决</w:t>
      </w:r>
      <w:r>
        <w:rPr>
          <w:rFonts w:hint="eastAsia" w:ascii="宋体" w:hAnsi="宋体"/>
          <w:b/>
          <w:sz w:val="44"/>
          <w:szCs w:val="44"/>
        </w:rPr>
        <w:t>算信息公开</w:t>
      </w:r>
    </w:p>
    <w:p>
      <w:pPr>
        <w:ind w:firstLine="640" w:firstLineChars="200"/>
        <w:rPr>
          <w:rFonts w:hint="eastAsia" w:ascii="仿宋" w:hAnsi="仿宋" w:eastAsia="仿宋"/>
          <w:sz w:val="32"/>
          <w:szCs w:val="32"/>
        </w:rPr>
      </w:pPr>
    </w:p>
    <w:p>
      <w:pPr>
        <w:ind w:firstLine="640" w:firstLineChars="200"/>
        <w:rPr>
          <w:rFonts w:ascii="宋体" w:hAnsi="宋体"/>
          <w:b w:val="0"/>
          <w:color w:val="000000"/>
          <w:kern w:val="0"/>
        </w:rPr>
      </w:pPr>
      <w:r>
        <w:rPr>
          <w:rFonts w:hint="eastAsia" w:ascii="仿宋" w:hAnsi="仿宋" w:eastAsia="仿宋"/>
          <w:sz w:val="32"/>
          <w:szCs w:val="32"/>
        </w:rPr>
        <w:t>按照《预算法》、《地方预决算公开操作规程》规定，现将香河县物价</w:t>
      </w:r>
      <w:r>
        <w:rPr>
          <w:rFonts w:hint="eastAsia" w:ascii="仿宋" w:hAnsi="仿宋" w:eastAsia="仿宋"/>
          <w:sz w:val="32"/>
          <w:szCs w:val="32"/>
          <w:lang w:val="en-US" w:eastAsia="zh-CN"/>
        </w:rPr>
        <w:t>局</w:t>
      </w:r>
      <w:bookmarkStart w:id="0" w:name="_GoBack"/>
      <w:bookmarkEnd w:id="0"/>
      <w:r>
        <w:rPr>
          <w:rFonts w:hint="eastAsia" w:ascii="仿宋" w:hAnsi="仿宋" w:eastAsia="仿宋"/>
          <w:sz w:val="32"/>
          <w:szCs w:val="32"/>
        </w:rPr>
        <w:t>201</w:t>
      </w:r>
      <w:r>
        <w:rPr>
          <w:rFonts w:hint="eastAsia" w:ascii="仿宋" w:hAnsi="仿宋" w:eastAsia="仿宋"/>
          <w:sz w:val="32"/>
          <w:szCs w:val="32"/>
          <w:lang w:val="en-US" w:eastAsia="zh-CN"/>
        </w:rPr>
        <w:t>7</w:t>
      </w:r>
      <w:r>
        <w:rPr>
          <w:rFonts w:hint="eastAsia" w:ascii="仿宋" w:hAnsi="仿宋" w:eastAsia="仿宋"/>
          <w:sz w:val="32"/>
          <w:szCs w:val="32"/>
        </w:rPr>
        <w:t>年部门</w:t>
      </w:r>
      <w:r>
        <w:rPr>
          <w:rFonts w:hint="eastAsia" w:ascii="仿宋" w:hAnsi="仿宋" w:eastAsia="仿宋"/>
          <w:sz w:val="32"/>
          <w:szCs w:val="32"/>
          <w:lang w:val="en-US" w:eastAsia="zh-CN"/>
        </w:rPr>
        <w:t>决</w:t>
      </w:r>
      <w:r>
        <w:rPr>
          <w:rFonts w:hint="eastAsia" w:ascii="仿宋" w:hAnsi="仿宋" w:eastAsia="仿宋"/>
          <w:sz w:val="32"/>
          <w:szCs w:val="32"/>
        </w:rPr>
        <w:t>算公开如下：</w:t>
      </w:r>
    </w:p>
    <w:p>
      <w:pPr>
        <w:pStyle w:val="2"/>
        <w:spacing w:before="0" w:after="0" w:line="584" w:lineRule="exact"/>
        <w:jc w:val="center"/>
        <w:rPr>
          <w:rFonts w:ascii="宋体" w:hAnsi="宋体"/>
          <w:b w:val="0"/>
          <w:color w:val="000000"/>
          <w:kern w:val="0"/>
        </w:rPr>
      </w:pPr>
      <w:r>
        <w:rPr>
          <w:rFonts w:ascii="宋体" w:hAnsi="宋体"/>
          <w:b w:val="0"/>
          <w:color w:val="000000"/>
          <w:kern w:val="0"/>
        </w:rPr>
        <w:t>第一部分 部门概况</w:t>
      </w:r>
    </w:p>
    <w:p>
      <w:pPr>
        <w:spacing w:line="584" w:lineRule="exact"/>
      </w:pP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一、部门职责</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、监测、预测全县价格总水平及其结构变动趋势，提出调控意见和建议。</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、对国家和省市出台的价格（收费）改革方案及时组织实施。</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、对实行政府定价或政府指价的商品价格实行管理，对市场调节的商品和服务价格实行间接调控。</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、管理国家机关收费、公益事业收费、公用事业收费、中介服务收费和重要的经营性收费。</w:t>
      </w:r>
    </w:p>
    <w:p>
      <w:pPr>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、负责市场物价变化情况监测，向市局和县委、县政府反映物价方面的重要情况，为政府实施宏观调控提供决策依据；向企业发布价格信息。</w:t>
      </w:r>
    </w:p>
    <w:p>
      <w:pPr>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、依据有关价格法律、法规、规章，对全县商品和服务价格（收费）的监督检查，查处违法行为，受理对价格（收费）违法行为的举报。</w:t>
      </w:r>
    </w:p>
    <w:p>
      <w:pPr>
        <w:ind w:firstLine="640" w:firstLineChars="200"/>
        <w:rPr>
          <w:rFonts w:ascii="仿宋" w:hAnsi="仿宋" w:eastAsia="仿宋"/>
          <w:sz w:val="32"/>
          <w:szCs w:val="32"/>
        </w:rPr>
      </w:pPr>
      <w:r>
        <w:rPr>
          <w:rFonts w:ascii="仿宋" w:hAnsi="仿宋" w:eastAsia="仿宋"/>
          <w:sz w:val="32"/>
          <w:szCs w:val="32"/>
        </w:rPr>
        <w:t>7</w:t>
      </w:r>
      <w:r>
        <w:rPr>
          <w:rFonts w:hint="eastAsia" w:ascii="仿宋" w:hAnsi="仿宋" w:eastAsia="仿宋"/>
          <w:sz w:val="32"/>
          <w:szCs w:val="32"/>
        </w:rPr>
        <w:t>、负责重要工业品和农产品成本调查工作。</w:t>
      </w:r>
    </w:p>
    <w:p>
      <w:pPr>
        <w:ind w:firstLine="640" w:firstLineChars="200"/>
        <w:rPr>
          <w:rFonts w:ascii="仿宋" w:hAnsi="仿宋" w:eastAsia="仿宋"/>
          <w:sz w:val="32"/>
          <w:szCs w:val="32"/>
        </w:rPr>
      </w:pPr>
      <w:r>
        <w:rPr>
          <w:rFonts w:ascii="仿宋" w:hAnsi="仿宋" w:eastAsia="仿宋"/>
          <w:sz w:val="32"/>
          <w:szCs w:val="32"/>
        </w:rPr>
        <w:t>8</w:t>
      </w:r>
      <w:r>
        <w:rPr>
          <w:rFonts w:hint="eastAsia" w:ascii="仿宋" w:hAnsi="仿宋" w:eastAsia="仿宋"/>
          <w:sz w:val="32"/>
          <w:szCs w:val="32"/>
        </w:rPr>
        <w:t>、负责全县价格认证、价格评估、价格咨询等价格价格服务工作。</w:t>
      </w:r>
    </w:p>
    <w:p>
      <w:pPr>
        <w:ind w:firstLine="640" w:firstLineChars="200"/>
        <w:rPr>
          <w:rFonts w:ascii="仿宋" w:hAnsi="仿宋" w:eastAsia="仿宋"/>
          <w:sz w:val="32"/>
          <w:szCs w:val="32"/>
        </w:rPr>
      </w:pPr>
      <w:r>
        <w:rPr>
          <w:rFonts w:ascii="仿宋" w:hAnsi="仿宋" w:eastAsia="仿宋"/>
          <w:sz w:val="32"/>
          <w:szCs w:val="32"/>
        </w:rPr>
        <w:t>9</w:t>
      </w:r>
      <w:r>
        <w:rPr>
          <w:rFonts w:hint="eastAsia" w:ascii="仿宋" w:hAnsi="仿宋" w:eastAsia="仿宋"/>
          <w:sz w:val="32"/>
          <w:szCs w:val="32"/>
        </w:rPr>
        <w:t>、承办县政府交办的其它工作。</w:t>
      </w:r>
    </w:p>
    <w:p>
      <w:pPr>
        <w:pStyle w:val="3"/>
        <w:spacing w:before="0" w:after="0" w:line="584" w:lineRule="exact"/>
        <w:ind w:firstLine="640" w:firstLineChars="200"/>
        <w:rPr>
          <w:rFonts w:ascii="Times New Roman" w:hAnsi="Times New Roman" w:eastAsia="黑体"/>
          <w:b w:val="0"/>
          <w:kern w:val="0"/>
        </w:rPr>
      </w:pPr>
      <w:r>
        <w:rPr>
          <w:rFonts w:ascii="Times New Roman" w:hAnsi="Times New Roman" w:eastAsia="黑体"/>
          <w:b w:val="0"/>
          <w:kern w:val="0"/>
        </w:rPr>
        <w:t>二、部门决算单位构成</w:t>
      </w:r>
    </w:p>
    <w:p>
      <w:pPr>
        <w:jc w:val="center"/>
        <w:outlineLvl w:val="0"/>
        <w:rPr>
          <w:rFonts w:ascii="仿宋" w:hAnsi="仿宋" w:eastAsia="仿宋"/>
          <w:kern w:val="0"/>
          <w:sz w:val="32"/>
          <w:szCs w:val="32"/>
        </w:rPr>
      </w:pPr>
      <w:r>
        <w:rPr>
          <w:rFonts w:ascii="仿宋" w:hAnsi="仿宋" w:eastAsia="仿宋"/>
          <w:kern w:val="0"/>
          <w:sz w:val="32"/>
          <w:szCs w:val="32"/>
        </w:rPr>
        <w:t>2017 年度，纳入本部门决算汇编范围的独立核算单位（以下简称“单位”）共</w:t>
      </w:r>
      <w:r>
        <w:rPr>
          <w:rFonts w:hint="eastAsia" w:ascii="仿宋" w:hAnsi="仿宋" w:eastAsia="仿宋"/>
          <w:sz w:val="32"/>
          <w:szCs w:val="32"/>
        </w:rPr>
        <w:t>1</w:t>
      </w:r>
      <w:r>
        <w:rPr>
          <w:rFonts w:ascii="仿宋" w:hAnsi="仿宋" w:eastAsia="仿宋"/>
          <w:kern w:val="0"/>
          <w:sz w:val="32"/>
          <w:szCs w:val="32"/>
        </w:rPr>
        <w:t>个，</w:t>
      </w:r>
      <w:r>
        <w:rPr>
          <w:rFonts w:hint="eastAsia" w:ascii="仿宋" w:hAnsi="仿宋" w:eastAsia="仿宋"/>
          <w:kern w:val="0"/>
          <w:sz w:val="32"/>
          <w:szCs w:val="32"/>
        </w:rPr>
        <w:t>香河县</w:t>
      </w:r>
      <w:r>
        <w:rPr>
          <w:rFonts w:hint="eastAsia" w:ascii="仿宋" w:hAnsi="仿宋" w:eastAsia="仿宋"/>
          <w:kern w:val="0"/>
          <w:sz w:val="32"/>
          <w:szCs w:val="32"/>
          <w:lang w:val="en-US" w:eastAsia="zh-CN"/>
        </w:rPr>
        <w:t>物价局</w:t>
      </w:r>
      <w:r>
        <w:rPr>
          <w:rFonts w:ascii="仿宋" w:hAnsi="仿宋" w:eastAsia="仿宋"/>
          <w:kern w:val="0"/>
          <w:sz w:val="32"/>
          <w:szCs w:val="32"/>
        </w:rPr>
        <w:t>。</w:t>
      </w:r>
    </w:p>
    <w:p>
      <w:pPr>
        <w:jc w:val="center"/>
        <w:outlineLvl w:val="0"/>
        <w:rPr>
          <w:rFonts w:ascii="Times New Roman" w:hAnsi="Times New Roman" w:eastAsia="方正小标宋_GBK"/>
          <w:sz w:val="32"/>
          <w:szCs w:val="24"/>
        </w:rPr>
      </w:pPr>
      <w:r>
        <w:rPr>
          <w:rFonts w:hint="eastAsia" w:ascii="Times New Roman" w:hAnsi="Times New Roman" w:eastAsia="方正小标宋_GBK"/>
          <w:sz w:val="32"/>
          <w:szCs w:val="24"/>
        </w:rPr>
        <w:t>部门机构设置情况</w:t>
      </w:r>
    </w:p>
    <w:tbl>
      <w:tblPr>
        <w:tblStyle w:val="11"/>
        <w:tblW w:w="9755" w:type="dxa"/>
        <w:jc w:val="center"/>
        <w:tblInd w:w="-61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单位名称</w:t>
            </w:r>
          </w:p>
        </w:tc>
        <w:tc>
          <w:tcPr>
            <w:tcW w:w="1134"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单位性质</w:t>
            </w:r>
          </w:p>
        </w:tc>
        <w:tc>
          <w:tcPr>
            <w:tcW w:w="1276"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单位规格</w:t>
            </w:r>
          </w:p>
        </w:tc>
        <w:tc>
          <w:tcPr>
            <w:tcW w:w="2902" w:type="dxa"/>
            <w:vMerge w:val="restart"/>
            <w:vAlign w:val="center"/>
          </w:tcPr>
          <w:p>
            <w:pPr>
              <w:spacing w:line="300" w:lineRule="exact"/>
              <w:jc w:val="center"/>
              <w:rPr>
                <w:rFonts w:ascii="Times New Roman" w:hAnsi="Times New Roman" w:eastAsia="Times New Roman"/>
                <w:b/>
                <w:szCs w:val="24"/>
              </w:rPr>
            </w:pPr>
            <w:r>
              <w:rPr>
                <w:rFonts w:hint="eastAsia" w:ascii="宋体" w:hAnsi="宋体" w:cs="宋体"/>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rPr>
                <w:rFonts w:ascii="Times New Roman" w:hAnsi="Times New Roman"/>
                <w:szCs w:val="24"/>
              </w:rPr>
            </w:pPr>
          </w:p>
        </w:tc>
        <w:tc>
          <w:tcPr>
            <w:tcW w:w="1134" w:type="dxa"/>
            <w:vMerge w:val="continue"/>
            <w:vAlign w:val="center"/>
          </w:tcPr>
          <w:p>
            <w:pPr>
              <w:spacing w:line="300" w:lineRule="exact"/>
              <w:jc w:val="left"/>
              <w:outlineLvl w:val="0"/>
              <w:rPr>
                <w:rFonts w:ascii="Times New Roman" w:hAnsi="Times New Roman"/>
                <w:szCs w:val="24"/>
              </w:rPr>
            </w:pPr>
          </w:p>
        </w:tc>
        <w:tc>
          <w:tcPr>
            <w:tcW w:w="1276" w:type="dxa"/>
            <w:vMerge w:val="continue"/>
            <w:vAlign w:val="center"/>
          </w:tcPr>
          <w:p>
            <w:pPr>
              <w:spacing w:line="300" w:lineRule="exact"/>
              <w:jc w:val="left"/>
              <w:outlineLvl w:val="0"/>
              <w:rPr>
                <w:rFonts w:ascii="Times New Roman" w:hAnsi="Times New Roman"/>
                <w:szCs w:val="24"/>
              </w:rPr>
            </w:pPr>
          </w:p>
        </w:tc>
        <w:tc>
          <w:tcPr>
            <w:tcW w:w="2902" w:type="dxa"/>
            <w:vMerge w:val="continue"/>
            <w:vAlign w:val="center"/>
          </w:tcPr>
          <w:p>
            <w:pPr>
              <w:spacing w:line="300" w:lineRule="exact"/>
              <w:jc w:val="left"/>
              <w:outlineLvl w:val="0"/>
              <w:rPr>
                <w:rFonts w:ascii="Times New Roman" w:hAnsi="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香河县物价部门</w:t>
            </w:r>
          </w:p>
        </w:tc>
        <w:tc>
          <w:tcPr>
            <w:tcW w:w="1134"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行政</w:t>
            </w:r>
          </w:p>
        </w:tc>
        <w:tc>
          <w:tcPr>
            <w:tcW w:w="1276"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乡科级</w:t>
            </w:r>
          </w:p>
        </w:tc>
        <w:tc>
          <w:tcPr>
            <w:tcW w:w="2902" w:type="dxa"/>
            <w:vAlign w:val="center"/>
          </w:tcPr>
          <w:p>
            <w:pPr>
              <w:spacing w:line="300" w:lineRule="exact"/>
              <w:jc w:val="center"/>
              <w:rPr>
                <w:rFonts w:ascii="Times New Roman" w:hAnsi="Times New Roman" w:eastAsia="Times New Roman"/>
                <w:szCs w:val="24"/>
              </w:rPr>
            </w:pPr>
            <w:r>
              <w:rPr>
                <w:rFonts w:hint="eastAsia" w:ascii="宋体" w:hAnsi="宋体" w:cs="宋体"/>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Times New Roman"/>
                <w:szCs w:val="24"/>
              </w:rPr>
            </w:pPr>
          </w:p>
        </w:tc>
        <w:tc>
          <w:tcPr>
            <w:tcW w:w="1134" w:type="dxa"/>
            <w:vAlign w:val="center"/>
          </w:tcPr>
          <w:p>
            <w:pPr>
              <w:spacing w:line="300" w:lineRule="exact"/>
              <w:jc w:val="left"/>
              <w:rPr>
                <w:rFonts w:ascii="Times New Roman" w:hAnsi="Times New Roman" w:eastAsia="Times New Roman"/>
                <w:szCs w:val="24"/>
              </w:rPr>
            </w:pPr>
          </w:p>
        </w:tc>
        <w:tc>
          <w:tcPr>
            <w:tcW w:w="1276" w:type="dxa"/>
            <w:vAlign w:val="center"/>
          </w:tcPr>
          <w:p>
            <w:pPr>
              <w:spacing w:line="300" w:lineRule="exact"/>
              <w:jc w:val="left"/>
              <w:rPr>
                <w:rFonts w:ascii="Times New Roman" w:hAnsi="Times New Roman" w:eastAsia="Times New Roman"/>
                <w:szCs w:val="24"/>
              </w:rPr>
            </w:pPr>
          </w:p>
        </w:tc>
        <w:tc>
          <w:tcPr>
            <w:tcW w:w="2902" w:type="dxa"/>
            <w:vAlign w:val="center"/>
          </w:tcPr>
          <w:p>
            <w:pPr>
              <w:spacing w:line="300" w:lineRule="exact"/>
              <w:jc w:val="left"/>
              <w:rPr>
                <w:rFonts w:ascii="Times New Roman" w:hAnsi="Times New Roman" w:eastAsia="Times New Roman"/>
                <w:szCs w:val="24"/>
              </w:rPr>
            </w:pPr>
          </w:p>
        </w:tc>
      </w:tr>
    </w:tbl>
    <w:p>
      <w:pPr>
        <w:autoSpaceDE w:val="0"/>
        <w:autoSpaceDN w:val="0"/>
        <w:adjustRightInd w:val="0"/>
        <w:spacing w:line="584" w:lineRule="exact"/>
        <w:ind w:firstLine="640" w:firstLineChars="200"/>
        <w:jc w:val="left"/>
        <w:rPr>
          <w:rFonts w:ascii="仿宋" w:hAnsi="仿宋" w:eastAsia="仿宋"/>
          <w:kern w:val="0"/>
          <w:sz w:val="32"/>
          <w:szCs w:val="32"/>
        </w:rPr>
        <w:sectPr>
          <w:footerReference r:id="rId3" w:type="default"/>
          <w:footerReference r:id="rId4" w:type="even"/>
          <w:pgSz w:w="16838" w:h="11906" w:orient="landscape"/>
          <w:pgMar w:top="1531" w:right="1984" w:bottom="1531" w:left="1984" w:header="851" w:footer="1417" w:gutter="0"/>
          <w:pgNumType w:start="1"/>
          <w:cols w:space="0" w:num="1"/>
          <w:rtlGutter w:val="0"/>
          <w:docGrid w:type="lines" w:linePitch="315" w:charSpace="0"/>
        </w:sectPr>
      </w:pPr>
    </w:p>
    <w:p>
      <w:pPr>
        <w:pStyle w:val="2"/>
        <w:numPr>
          <w:ilvl w:val="0"/>
          <w:numId w:val="1"/>
        </w:numPr>
        <w:spacing w:before="0" w:after="0" w:line="584" w:lineRule="exact"/>
        <w:jc w:val="center"/>
        <w:rPr>
          <w:rFonts w:ascii="宋体" w:hAnsi="宋体"/>
          <w:b w:val="0"/>
          <w:color w:val="000000"/>
          <w:kern w:val="0"/>
        </w:rPr>
      </w:pPr>
      <w:r>
        <w:rPr>
          <w:rFonts w:ascii="宋体" w:hAnsi="宋体"/>
          <w:b w:val="0"/>
          <w:color w:val="000000"/>
          <w:kern w:val="0"/>
        </w:rPr>
        <w:t>2017年度部门决算报表</w:t>
      </w:r>
    </w:p>
    <w:p>
      <w:pPr>
        <w:numPr>
          <w:ilvl w:val="0"/>
          <w:numId w:val="0"/>
        </w:numPr>
      </w:pPr>
    </w:p>
    <w:p>
      <w:pPr>
        <w:spacing w:line="584" w:lineRule="exact"/>
        <w:ind w:firstLine="640" w:firstLineChars="200"/>
        <w:jc w:val="left"/>
        <w:rPr>
          <w:rFonts w:hint="eastAsia" w:ascii="Times New Roman" w:hAnsi="Times New Roman" w:eastAsia="黑体" w:cs="Times New Roman"/>
          <w:b w:val="0"/>
          <w:bCs/>
          <w:kern w:val="2"/>
          <w:sz w:val="32"/>
          <w:szCs w:val="32"/>
          <w:lang w:val="en-US" w:eastAsia="zh-CN" w:bidi="ar-SA"/>
        </w:rPr>
      </w:pPr>
      <w:r>
        <w:rPr>
          <w:rFonts w:hint="eastAsia" w:eastAsia="黑体" w:cs="Times New Roman"/>
          <w:b w:val="0"/>
          <w:bCs/>
          <w:kern w:val="2"/>
          <w:sz w:val="32"/>
          <w:szCs w:val="32"/>
          <w:lang w:val="en-US" w:eastAsia="zh-CN" w:bidi="ar-SA"/>
        </w:rPr>
        <w:t>见：</w:t>
      </w:r>
      <w:r>
        <w:rPr>
          <w:rFonts w:hint="eastAsia" w:ascii="Times New Roman" w:hAnsi="Times New Roman" w:eastAsia="黑体" w:cs="Times New Roman"/>
          <w:b w:val="0"/>
          <w:bCs/>
          <w:kern w:val="2"/>
          <w:sz w:val="32"/>
          <w:szCs w:val="32"/>
          <w:lang w:val="en-US" w:eastAsia="zh-CN" w:bidi="ar-SA"/>
        </w:rPr>
        <w:t>附表</w:t>
      </w:r>
    </w:p>
    <w:p>
      <w:pPr>
        <w:pStyle w:val="2"/>
        <w:spacing w:before="0" w:after="0" w:line="584" w:lineRule="exact"/>
        <w:jc w:val="center"/>
        <w:rPr>
          <w:rFonts w:hint="eastAsia" w:ascii="仿宋" w:hAnsi="仿宋" w:eastAsia="仿宋"/>
          <w:b w:val="0"/>
          <w:color w:val="000000"/>
          <w:kern w:val="0"/>
          <w:lang w:val="en-US" w:eastAsia="zh-CN"/>
        </w:rPr>
      </w:pPr>
    </w:p>
    <w:p>
      <w:pPr>
        <w:pStyle w:val="2"/>
        <w:spacing w:before="0" w:after="0" w:line="584" w:lineRule="exact"/>
        <w:jc w:val="center"/>
        <w:rPr>
          <w:rFonts w:ascii="仿宋" w:hAnsi="仿宋" w:eastAsia="仿宋"/>
          <w:b w:val="0"/>
          <w:color w:val="000000"/>
          <w:kern w:val="0"/>
        </w:rPr>
      </w:pPr>
      <w:r>
        <w:rPr>
          <w:rFonts w:hint="eastAsia" w:ascii="仿宋" w:hAnsi="仿宋" w:eastAsia="仿宋"/>
          <w:b w:val="0"/>
          <w:color w:val="000000"/>
          <w:kern w:val="0"/>
          <w:lang w:val="en-US" w:eastAsia="zh-CN"/>
        </w:rPr>
        <w:t xml:space="preserve">第三部分 </w:t>
      </w:r>
      <w:r>
        <w:rPr>
          <w:rFonts w:ascii="仿宋" w:hAnsi="仿宋" w:eastAsia="仿宋"/>
          <w:b w:val="0"/>
          <w:color w:val="000000"/>
          <w:kern w:val="0"/>
        </w:rPr>
        <w:t>部门决算情况说明</w:t>
      </w:r>
    </w:p>
    <w:p>
      <w:pPr>
        <w:pStyle w:val="3"/>
        <w:spacing w:before="0" w:after="0" w:line="584" w:lineRule="exact"/>
        <w:ind w:firstLine="640" w:firstLineChars="200"/>
        <w:rPr>
          <w:rFonts w:ascii="Times New Roman" w:hAnsi="Times New Roman" w:eastAsia="黑体"/>
          <w:b w:val="0"/>
        </w:rPr>
      </w:pP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一、收入</w:t>
      </w:r>
      <w:r>
        <w:rPr>
          <w:rFonts w:ascii="Times New Roman" w:hAnsi="Times New Roman" w:eastAsia="黑体"/>
          <w:b w:val="0"/>
          <w:kern w:val="0"/>
        </w:rPr>
        <w:t>支出</w:t>
      </w:r>
      <w:r>
        <w:rPr>
          <w:rFonts w:ascii="Times New Roman" w:hAnsi="Times New Roman" w:eastAsia="黑体"/>
          <w:b w:val="0"/>
        </w:rPr>
        <w:t>决算总体情况说明</w:t>
      </w:r>
    </w:p>
    <w:p>
      <w:pPr>
        <w:pStyle w:val="3"/>
        <w:spacing w:before="0" w:after="0" w:line="584" w:lineRule="exact"/>
        <w:ind w:firstLine="640" w:firstLineChars="200"/>
        <w:rPr>
          <w:rFonts w:ascii="仿宋" w:hAnsi="仿宋" w:eastAsia="仿宋"/>
          <w:b w:val="0"/>
          <w:lang w:val="en-US"/>
        </w:rPr>
      </w:pPr>
      <w:r>
        <w:rPr>
          <w:rFonts w:ascii="仿宋" w:hAnsi="仿宋" w:eastAsia="仿宋"/>
          <w:b w:val="0"/>
        </w:rPr>
        <w:t>本部门2017年度年初结转和结余</w:t>
      </w:r>
      <w:r>
        <w:rPr>
          <w:rFonts w:hint="eastAsia" w:ascii="仿宋" w:hAnsi="仿宋" w:eastAsia="仿宋"/>
          <w:b w:val="0"/>
          <w:lang w:val="en-US" w:eastAsia="zh-CN"/>
        </w:rPr>
        <w:t>21.13</w:t>
      </w:r>
      <w:r>
        <w:rPr>
          <w:rFonts w:ascii="仿宋" w:hAnsi="仿宋" w:eastAsia="仿宋"/>
          <w:b w:val="0"/>
        </w:rPr>
        <w:t>万元，本年收入</w:t>
      </w:r>
      <w:r>
        <w:rPr>
          <w:rFonts w:hint="eastAsia" w:ascii="仿宋" w:hAnsi="仿宋" w:eastAsia="仿宋"/>
          <w:b w:val="0"/>
          <w:lang w:val="en-US" w:eastAsia="zh-CN"/>
        </w:rPr>
        <w:t>300.92</w:t>
      </w:r>
      <w:r>
        <w:rPr>
          <w:rFonts w:ascii="仿宋" w:hAnsi="仿宋" w:eastAsia="仿宋"/>
          <w:b w:val="0"/>
        </w:rPr>
        <w:t>万元；本年支出</w:t>
      </w:r>
      <w:r>
        <w:rPr>
          <w:rFonts w:hint="eastAsia" w:ascii="仿宋" w:hAnsi="仿宋" w:eastAsia="仿宋"/>
          <w:b w:val="0"/>
          <w:lang w:val="en-US" w:eastAsia="zh-CN"/>
        </w:rPr>
        <w:t>294.78</w:t>
      </w:r>
      <w:r>
        <w:rPr>
          <w:rFonts w:ascii="仿宋" w:hAnsi="仿宋" w:eastAsia="仿宋"/>
          <w:b w:val="0"/>
        </w:rPr>
        <w:t>万元、年末结转和结余</w:t>
      </w:r>
      <w:r>
        <w:rPr>
          <w:rFonts w:hint="eastAsia" w:ascii="仿宋" w:hAnsi="仿宋" w:eastAsia="仿宋"/>
          <w:b w:val="0"/>
          <w:lang w:val="en-US" w:eastAsia="zh-CN"/>
        </w:rPr>
        <w:t>27.28</w:t>
      </w:r>
      <w:r>
        <w:rPr>
          <w:rFonts w:ascii="仿宋" w:hAnsi="仿宋" w:eastAsia="仿宋"/>
          <w:b w:val="0"/>
        </w:rPr>
        <w:t>万元。与2016年度决算相比，本年收入增加</w:t>
      </w:r>
      <w:r>
        <w:rPr>
          <w:rFonts w:hint="eastAsia" w:ascii="仿宋" w:hAnsi="仿宋" w:eastAsia="仿宋"/>
          <w:b w:val="0"/>
          <w:lang w:val="en-US" w:eastAsia="zh-CN"/>
        </w:rPr>
        <w:t>57.31</w:t>
      </w:r>
      <w:r>
        <w:rPr>
          <w:rFonts w:ascii="仿宋" w:hAnsi="仿宋" w:eastAsia="仿宋"/>
          <w:b w:val="0"/>
        </w:rPr>
        <w:t>万元，增长</w:t>
      </w:r>
      <w:r>
        <w:rPr>
          <w:rFonts w:hint="eastAsia" w:ascii="仿宋" w:hAnsi="仿宋" w:eastAsia="仿宋"/>
          <w:b w:val="0"/>
          <w:lang w:val="en-US" w:eastAsia="zh-CN"/>
        </w:rPr>
        <w:t>23.5</w:t>
      </w:r>
      <w:r>
        <w:rPr>
          <w:rFonts w:ascii="仿宋" w:hAnsi="仿宋" w:eastAsia="仿宋"/>
          <w:b w:val="0"/>
        </w:rPr>
        <w:t>%，主要是</w:t>
      </w:r>
      <w:r>
        <w:rPr>
          <w:rFonts w:hint="eastAsia" w:ascii="仿宋" w:hAnsi="仿宋" w:eastAsia="仿宋"/>
          <w:b w:val="0"/>
          <w:lang w:val="en-US" w:eastAsia="zh-CN"/>
        </w:rPr>
        <w:t>人员经费的增加</w:t>
      </w:r>
      <w:r>
        <w:rPr>
          <w:rFonts w:ascii="仿宋" w:hAnsi="仿宋" w:eastAsia="仿宋"/>
          <w:b w:val="0"/>
        </w:rPr>
        <w:t>；本年支出增加</w:t>
      </w:r>
      <w:r>
        <w:rPr>
          <w:rFonts w:hint="eastAsia" w:ascii="仿宋" w:hAnsi="仿宋" w:eastAsia="仿宋"/>
          <w:b w:val="0"/>
          <w:lang w:val="en-US" w:eastAsia="zh-CN"/>
        </w:rPr>
        <w:t>63.50</w:t>
      </w:r>
      <w:r>
        <w:rPr>
          <w:rFonts w:ascii="仿宋" w:hAnsi="仿宋" w:eastAsia="仿宋"/>
          <w:b w:val="0"/>
        </w:rPr>
        <w:t>万元，增长</w:t>
      </w:r>
      <w:r>
        <w:rPr>
          <w:rFonts w:hint="eastAsia" w:ascii="仿宋" w:hAnsi="仿宋" w:eastAsia="仿宋"/>
          <w:b w:val="0"/>
          <w:lang w:val="en-US" w:eastAsia="zh-CN"/>
        </w:rPr>
        <w:t>27.5</w:t>
      </w:r>
      <w:r>
        <w:rPr>
          <w:rFonts w:ascii="仿宋" w:hAnsi="仿宋" w:eastAsia="仿宋"/>
          <w:b w:val="0"/>
        </w:rPr>
        <w:t>%，主要是</w:t>
      </w:r>
      <w:r>
        <w:rPr>
          <w:rFonts w:hint="eastAsia" w:ascii="仿宋" w:hAnsi="仿宋" w:eastAsia="仿宋"/>
          <w:b w:val="0"/>
          <w:lang w:val="en-US" w:eastAsia="zh-CN"/>
        </w:rPr>
        <w:t>人员经费增加、物价上涨、业务量增大，所需办公费、印刷费、邮电费、办公用水用电等费用相应增加。</w:t>
      </w:r>
    </w:p>
    <w:p>
      <w:pPr>
        <w:pStyle w:val="3"/>
        <w:adjustRightInd w:val="0"/>
        <w:spacing w:before="0" w:after="0" w:line="584" w:lineRule="exact"/>
        <w:ind w:firstLine="640" w:firstLineChars="200"/>
        <w:rPr>
          <w:rFonts w:ascii="Times New Roman" w:hAnsi="Times New Roman" w:eastAsia="黑体"/>
          <w:b w:val="0"/>
        </w:rPr>
      </w:pPr>
      <w:r>
        <w:rPr>
          <w:rFonts w:ascii="Times New Roman" w:hAnsi="Times New Roman" w:eastAsia="黑体"/>
          <w:b w:val="0"/>
        </w:rPr>
        <w:t>二、收入决算情况说明</w:t>
      </w:r>
    </w:p>
    <w:p>
      <w:pPr>
        <w:pStyle w:val="3"/>
        <w:spacing w:before="0" w:after="0" w:line="584" w:lineRule="exact"/>
        <w:ind w:firstLine="640" w:firstLineChars="200"/>
        <w:rPr>
          <w:rFonts w:ascii="仿宋" w:hAnsi="仿宋" w:eastAsia="仿宋"/>
          <w:b w:val="0"/>
        </w:rPr>
      </w:pPr>
      <w:r>
        <w:rPr>
          <w:rFonts w:ascii="仿宋" w:hAnsi="仿宋" w:eastAsia="仿宋"/>
          <w:b w:val="0"/>
        </w:rPr>
        <w:t>本部门2017年度本年收入合计</w:t>
      </w:r>
      <w:r>
        <w:rPr>
          <w:rFonts w:hint="eastAsia" w:ascii="仿宋_GB2312" w:hAnsi="仿宋" w:eastAsia="仿宋_GB2312"/>
          <w:b w:val="0"/>
          <w:bCs w:val="0"/>
          <w:sz w:val="32"/>
          <w:szCs w:val="32"/>
          <w:lang w:val="en-US" w:eastAsia="zh-CN"/>
        </w:rPr>
        <w:t>300.92</w:t>
      </w:r>
      <w:r>
        <w:rPr>
          <w:rFonts w:ascii="仿宋" w:hAnsi="仿宋" w:eastAsia="仿宋"/>
          <w:b w:val="0"/>
        </w:rPr>
        <w:t>万元，其中：财政拨款收入</w:t>
      </w:r>
      <w:r>
        <w:rPr>
          <w:rFonts w:hint="eastAsia" w:ascii="仿宋_GB2312" w:hAnsi="仿宋" w:eastAsia="仿宋_GB2312"/>
          <w:sz w:val="32"/>
          <w:szCs w:val="32"/>
          <w:lang w:val="en-US" w:eastAsia="zh-CN"/>
        </w:rPr>
        <w:t>300.92</w:t>
      </w:r>
      <w:r>
        <w:rPr>
          <w:rFonts w:ascii="仿宋" w:hAnsi="仿宋" w:eastAsia="仿宋"/>
          <w:b w:val="0"/>
        </w:rPr>
        <w:t>万元，占</w:t>
      </w:r>
      <w:r>
        <w:rPr>
          <w:rFonts w:hint="eastAsia" w:ascii="仿宋" w:hAnsi="仿宋" w:eastAsia="仿宋"/>
          <w:b w:val="0"/>
          <w:lang w:val="en-US" w:eastAsia="zh-CN"/>
        </w:rPr>
        <w:t>100</w:t>
      </w:r>
      <w:r>
        <w:rPr>
          <w:rFonts w:ascii="仿宋" w:hAnsi="仿宋" w:eastAsia="仿宋"/>
          <w:b w:val="0"/>
        </w:rPr>
        <w:t>%；事业收入</w:t>
      </w:r>
      <w:r>
        <w:rPr>
          <w:rFonts w:hint="eastAsia" w:ascii="仿宋" w:hAnsi="仿宋" w:eastAsia="仿宋"/>
          <w:b w:val="0"/>
          <w:lang w:val="en-US" w:eastAsia="zh-CN"/>
        </w:rPr>
        <w:t>0</w:t>
      </w:r>
      <w:r>
        <w:rPr>
          <w:rFonts w:ascii="仿宋" w:hAnsi="仿宋" w:eastAsia="仿宋"/>
          <w:b w:val="0"/>
        </w:rPr>
        <w:t>万元，占</w:t>
      </w:r>
      <w:r>
        <w:rPr>
          <w:rFonts w:hint="eastAsia" w:ascii="仿宋" w:hAnsi="仿宋" w:eastAsia="仿宋"/>
          <w:b w:val="0"/>
          <w:lang w:val="en-US" w:eastAsia="zh-CN"/>
        </w:rPr>
        <w:t>0</w:t>
      </w:r>
      <w:r>
        <w:rPr>
          <w:rFonts w:ascii="仿宋" w:hAnsi="仿宋" w:eastAsia="仿宋"/>
          <w:b w:val="0"/>
        </w:rPr>
        <w:t>%；经营收入</w:t>
      </w:r>
      <w:r>
        <w:rPr>
          <w:rFonts w:hint="eastAsia" w:ascii="仿宋" w:hAnsi="仿宋" w:eastAsia="仿宋"/>
          <w:b w:val="0"/>
          <w:lang w:val="en-US" w:eastAsia="zh-CN"/>
        </w:rPr>
        <w:t>0</w:t>
      </w:r>
      <w:r>
        <w:rPr>
          <w:rFonts w:ascii="仿宋" w:hAnsi="仿宋" w:eastAsia="仿宋"/>
          <w:b w:val="0"/>
        </w:rPr>
        <w:t>万元，占</w:t>
      </w:r>
      <w:r>
        <w:rPr>
          <w:rFonts w:hint="eastAsia" w:ascii="仿宋" w:hAnsi="仿宋" w:eastAsia="仿宋"/>
          <w:b w:val="0"/>
          <w:lang w:val="en-US" w:eastAsia="zh-CN"/>
        </w:rPr>
        <w:t>0</w:t>
      </w:r>
      <w:r>
        <w:rPr>
          <w:rFonts w:ascii="仿宋" w:hAnsi="仿宋" w:eastAsia="仿宋"/>
          <w:b w:val="0"/>
        </w:rPr>
        <w:t>%；其他收入</w:t>
      </w:r>
      <w:r>
        <w:rPr>
          <w:rFonts w:hint="eastAsia" w:ascii="仿宋" w:hAnsi="仿宋" w:eastAsia="仿宋"/>
          <w:b w:val="0"/>
          <w:lang w:val="en-US" w:eastAsia="zh-CN"/>
        </w:rPr>
        <w:t>0</w:t>
      </w:r>
      <w:r>
        <w:rPr>
          <w:rFonts w:ascii="仿宋" w:hAnsi="仿宋" w:eastAsia="仿宋"/>
          <w:b w:val="0"/>
        </w:rPr>
        <w:t>万元，占</w:t>
      </w:r>
      <w:r>
        <w:rPr>
          <w:rFonts w:hint="eastAsia" w:ascii="仿宋" w:hAnsi="仿宋" w:eastAsia="仿宋"/>
          <w:b w:val="0"/>
          <w:lang w:val="en-US" w:eastAsia="zh-CN"/>
        </w:rPr>
        <w:t>0</w:t>
      </w:r>
      <w:r>
        <w:rPr>
          <w:rFonts w:ascii="仿宋" w:hAnsi="仿宋" w:eastAsia="仿宋"/>
          <w:b w:val="0"/>
        </w:rPr>
        <w:t>%。</w:t>
      </w:r>
    </w:p>
    <w:p>
      <w:pPr>
        <w:pStyle w:val="3"/>
        <w:spacing w:before="0" w:after="0" w:line="584" w:lineRule="exact"/>
        <w:ind w:firstLine="640" w:firstLineChars="200"/>
        <w:rPr>
          <w:rFonts w:ascii="黑体" w:hAnsi="黑体" w:eastAsia="黑体"/>
          <w:b w:val="0"/>
        </w:rPr>
      </w:pPr>
      <w:r>
        <w:rPr>
          <w:rFonts w:ascii="黑体" w:hAnsi="黑体" w:eastAsia="黑体"/>
          <w:b w:val="0"/>
        </w:rPr>
        <w:t>三、支出决算情况说明</w:t>
      </w:r>
    </w:p>
    <w:p>
      <w:pPr>
        <w:pStyle w:val="3"/>
        <w:spacing w:before="0" w:after="0" w:line="584" w:lineRule="exact"/>
        <w:ind w:firstLine="640" w:firstLineChars="200"/>
        <w:rPr>
          <w:rFonts w:ascii="仿宋" w:hAnsi="仿宋" w:eastAsia="仿宋"/>
          <w:b w:val="0"/>
        </w:rPr>
      </w:pPr>
      <w:r>
        <w:rPr>
          <w:rFonts w:ascii="仿宋" w:hAnsi="仿宋" w:eastAsia="仿宋"/>
          <w:b w:val="0"/>
        </w:rPr>
        <w:t>本部门2017年度本年支出合计</w:t>
      </w:r>
      <w:r>
        <w:rPr>
          <w:rFonts w:hint="eastAsia" w:ascii="仿宋_GB2312" w:hAnsi="仿宋" w:eastAsia="仿宋_GB2312"/>
          <w:b w:val="0"/>
          <w:bCs w:val="0"/>
          <w:sz w:val="32"/>
          <w:szCs w:val="32"/>
          <w:lang w:val="en-US" w:eastAsia="zh-CN"/>
        </w:rPr>
        <w:t>294.78</w:t>
      </w:r>
      <w:r>
        <w:rPr>
          <w:rFonts w:ascii="仿宋" w:hAnsi="仿宋" w:eastAsia="仿宋"/>
          <w:b w:val="0"/>
        </w:rPr>
        <w:t>万元，其中：基本支出</w:t>
      </w:r>
      <w:r>
        <w:rPr>
          <w:rFonts w:hint="eastAsia" w:ascii="仿宋_GB2312" w:hAnsi="仿宋" w:eastAsia="仿宋_GB2312"/>
          <w:b w:val="0"/>
          <w:bCs w:val="0"/>
          <w:sz w:val="32"/>
          <w:szCs w:val="32"/>
          <w:lang w:val="en-US" w:eastAsia="zh-CN"/>
        </w:rPr>
        <w:t>294.78</w:t>
      </w:r>
      <w:r>
        <w:rPr>
          <w:rFonts w:ascii="仿宋" w:hAnsi="仿宋" w:eastAsia="仿宋"/>
          <w:b w:val="0"/>
        </w:rPr>
        <w:t>万元，占</w:t>
      </w:r>
      <w:r>
        <w:rPr>
          <w:rFonts w:hint="eastAsia" w:ascii="仿宋" w:hAnsi="仿宋" w:eastAsia="仿宋"/>
          <w:b w:val="0"/>
          <w:lang w:val="en-US" w:eastAsia="zh-CN"/>
        </w:rPr>
        <w:t>100</w:t>
      </w:r>
      <w:r>
        <w:rPr>
          <w:rFonts w:ascii="仿宋" w:hAnsi="仿宋" w:eastAsia="仿宋"/>
          <w:b w:val="0"/>
        </w:rPr>
        <w:t>%；项目支出</w:t>
      </w:r>
      <w:r>
        <w:rPr>
          <w:rFonts w:hint="eastAsia" w:ascii="仿宋" w:hAnsi="仿宋" w:eastAsia="仿宋"/>
          <w:b w:val="0"/>
          <w:lang w:val="en-US" w:eastAsia="zh-CN"/>
        </w:rPr>
        <w:t>0</w:t>
      </w:r>
      <w:r>
        <w:rPr>
          <w:rFonts w:ascii="仿宋" w:hAnsi="仿宋" w:eastAsia="仿宋"/>
          <w:b w:val="0"/>
        </w:rPr>
        <w:t>万元，占</w:t>
      </w:r>
      <w:r>
        <w:rPr>
          <w:rFonts w:hint="eastAsia" w:ascii="仿宋" w:hAnsi="仿宋" w:eastAsia="仿宋"/>
          <w:b w:val="0"/>
          <w:lang w:val="en-US" w:eastAsia="zh-CN"/>
        </w:rPr>
        <w:t>0</w:t>
      </w:r>
      <w:r>
        <w:rPr>
          <w:rFonts w:ascii="仿宋" w:hAnsi="仿宋" w:eastAsia="仿宋"/>
          <w:b w:val="0"/>
        </w:rPr>
        <w:t>%；经营支出</w:t>
      </w:r>
      <w:r>
        <w:rPr>
          <w:rFonts w:hint="eastAsia" w:ascii="仿宋" w:hAnsi="仿宋" w:eastAsia="仿宋"/>
          <w:b w:val="0"/>
          <w:lang w:val="en-US" w:eastAsia="zh-CN"/>
        </w:rPr>
        <w:t>0</w:t>
      </w:r>
      <w:r>
        <w:rPr>
          <w:rFonts w:ascii="仿宋" w:hAnsi="仿宋" w:eastAsia="仿宋"/>
          <w:b w:val="0"/>
        </w:rPr>
        <w:t>万元，占</w:t>
      </w:r>
      <w:r>
        <w:rPr>
          <w:rFonts w:hint="eastAsia" w:ascii="仿宋" w:hAnsi="仿宋" w:eastAsia="仿宋"/>
          <w:b w:val="0"/>
          <w:lang w:val="en-US" w:eastAsia="zh-CN"/>
        </w:rPr>
        <w:t>0</w:t>
      </w:r>
      <w:r>
        <w:rPr>
          <w:rFonts w:ascii="仿宋" w:hAnsi="仿宋" w:eastAsia="仿宋"/>
          <w:b w:val="0"/>
        </w:rPr>
        <w:t>%。</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四、</w:t>
      </w:r>
      <w:r>
        <w:rPr>
          <w:rFonts w:ascii="Times New Roman" w:hAnsi="Times New Roman" w:eastAsia="黑体"/>
          <w:b w:val="0"/>
          <w:kern w:val="0"/>
        </w:rPr>
        <w:t>财政</w:t>
      </w:r>
      <w:r>
        <w:rPr>
          <w:rFonts w:ascii="Times New Roman" w:hAnsi="Times New Roman" w:eastAsia="黑体"/>
          <w:b w:val="0"/>
        </w:rPr>
        <w:t>拨款收入支出决算总体情况说明</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（一）财政拨款收支与2016 年度决算对比情况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本部门2017年度财政拨款收支全部为一般公共预算财政拨款收支。一般公共预算财政拨款年初结转和结余</w:t>
      </w:r>
      <w:r>
        <w:rPr>
          <w:rFonts w:hint="eastAsia" w:ascii="仿宋" w:hAnsi="仿宋" w:eastAsia="仿宋"/>
          <w:sz w:val="32"/>
          <w:szCs w:val="32"/>
          <w:lang w:val="en-US" w:eastAsia="zh-CN"/>
        </w:rPr>
        <w:t>21.13</w:t>
      </w:r>
      <w:r>
        <w:rPr>
          <w:rFonts w:ascii="仿宋" w:hAnsi="仿宋" w:eastAsia="仿宋"/>
          <w:sz w:val="32"/>
          <w:szCs w:val="32"/>
        </w:rPr>
        <w:t>万元、本年收入</w:t>
      </w:r>
      <w:r>
        <w:rPr>
          <w:rFonts w:hint="eastAsia" w:ascii="仿宋" w:hAnsi="仿宋" w:eastAsia="仿宋"/>
          <w:sz w:val="32"/>
          <w:szCs w:val="32"/>
          <w:lang w:val="en-US" w:eastAsia="zh-CN"/>
        </w:rPr>
        <w:t>300.92</w:t>
      </w:r>
      <w:r>
        <w:rPr>
          <w:rFonts w:ascii="仿宋" w:hAnsi="仿宋" w:eastAsia="仿宋"/>
          <w:sz w:val="32"/>
          <w:szCs w:val="32"/>
        </w:rPr>
        <w:t>万元；本年支出</w:t>
      </w:r>
      <w:r>
        <w:rPr>
          <w:rFonts w:hint="eastAsia" w:ascii="仿宋" w:hAnsi="仿宋" w:eastAsia="仿宋"/>
          <w:sz w:val="32"/>
          <w:szCs w:val="32"/>
          <w:lang w:val="en-US" w:eastAsia="zh-CN"/>
        </w:rPr>
        <w:t>294.78</w:t>
      </w:r>
      <w:r>
        <w:rPr>
          <w:rFonts w:ascii="仿宋" w:hAnsi="仿宋" w:eastAsia="仿宋"/>
          <w:sz w:val="32"/>
          <w:szCs w:val="32"/>
        </w:rPr>
        <w:t>万元、年末结转和结余</w:t>
      </w:r>
      <w:r>
        <w:rPr>
          <w:rFonts w:hint="eastAsia" w:ascii="仿宋" w:hAnsi="仿宋" w:eastAsia="仿宋"/>
          <w:sz w:val="32"/>
          <w:szCs w:val="32"/>
          <w:lang w:val="en-US" w:eastAsia="zh-CN"/>
        </w:rPr>
        <w:t>27.28</w:t>
      </w:r>
      <w:r>
        <w:rPr>
          <w:rFonts w:ascii="仿宋" w:hAnsi="仿宋" w:eastAsia="仿宋"/>
          <w:sz w:val="32"/>
          <w:szCs w:val="32"/>
        </w:rPr>
        <w:t>万元。与2016年度决算相比，一般公共预算财政拨款本年收入增加</w:t>
      </w:r>
      <w:r>
        <w:rPr>
          <w:rFonts w:hint="eastAsia" w:ascii="仿宋" w:hAnsi="仿宋" w:eastAsia="仿宋"/>
          <w:sz w:val="32"/>
          <w:szCs w:val="32"/>
          <w:lang w:val="en-US" w:eastAsia="zh-CN"/>
        </w:rPr>
        <w:t>57.31</w:t>
      </w:r>
      <w:r>
        <w:rPr>
          <w:rFonts w:ascii="仿宋" w:hAnsi="仿宋" w:eastAsia="仿宋"/>
          <w:sz w:val="32"/>
          <w:szCs w:val="32"/>
        </w:rPr>
        <w:t>万元，增长</w:t>
      </w:r>
      <w:r>
        <w:rPr>
          <w:rFonts w:hint="eastAsia" w:ascii="仿宋" w:hAnsi="仿宋" w:eastAsia="仿宋"/>
          <w:sz w:val="32"/>
          <w:szCs w:val="32"/>
          <w:lang w:val="en-US" w:eastAsia="zh-CN"/>
        </w:rPr>
        <w:t>23.5</w:t>
      </w:r>
      <w:r>
        <w:rPr>
          <w:rFonts w:ascii="仿宋" w:hAnsi="仿宋" w:eastAsia="仿宋"/>
          <w:sz w:val="32"/>
          <w:szCs w:val="32"/>
        </w:rPr>
        <w:t>%，主要原因是</w:t>
      </w:r>
      <w:r>
        <w:rPr>
          <w:rFonts w:hint="eastAsia" w:ascii="仿宋" w:hAnsi="仿宋" w:eastAsia="仿宋"/>
          <w:sz w:val="32"/>
          <w:szCs w:val="32"/>
          <w:lang w:val="en-US" w:eastAsia="zh-CN"/>
        </w:rPr>
        <w:t>人员经费增加</w:t>
      </w:r>
      <w:r>
        <w:rPr>
          <w:rFonts w:ascii="仿宋" w:hAnsi="仿宋" w:eastAsia="仿宋"/>
          <w:sz w:val="32"/>
          <w:szCs w:val="32"/>
        </w:rPr>
        <w:t>；本年支出增加</w:t>
      </w:r>
      <w:r>
        <w:rPr>
          <w:rFonts w:hint="eastAsia" w:ascii="仿宋" w:hAnsi="仿宋" w:eastAsia="仿宋"/>
          <w:sz w:val="32"/>
          <w:szCs w:val="32"/>
          <w:lang w:val="en-US" w:eastAsia="zh-CN"/>
        </w:rPr>
        <w:t>63.50</w:t>
      </w:r>
      <w:r>
        <w:rPr>
          <w:rFonts w:ascii="仿宋" w:hAnsi="仿宋" w:eastAsia="仿宋"/>
          <w:sz w:val="32"/>
          <w:szCs w:val="32"/>
        </w:rPr>
        <w:t>万元，增长</w:t>
      </w:r>
      <w:r>
        <w:rPr>
          <w:rFonts w:hint="eastAsia" w:ascii="仿宋" w:hAnsi="仿宋" w:eastAsia="仿宋"/>
          <w:sz w:val="32"/>
          <w:szCs w:val="32"/>
          <w:lang w:val="en-US" w:eastAsia="zh-CN"/>
        </w:rPr>
        <w:t>27.5</w:t>
      </w:r>
      <w:r>
        <w:rPr>
          <w:rFonts w:ascii="仿宋" w:hAnsi="仿宋" w:eastAsia="仿宋"/>
          <w:sz w:val="32"/>
          <w:szCs w:val="32"/>
        </w:rPr>
        <w:t>%，主要是原因是</w:t>
      </w:r>
      <w:r>
        <w:rPr>
          <w:rFonts w:hint="eastAsia" w:ascii="仿宋" w:hAnsi="仿宋" w:eastAsia="仿宋"/>
          <w:sz w:val="32"/>
          <w:szCs w:val="32"/>
          <w:lang w:val="en-US" w:eastAsia="zh-CN"/>
        </w:rPr>
        <w:t>人员经费增加、</w:t>
      </w:r>
      <w:r>
        <w:rPr>
          <w:rFonts w:hint="eastAsia" w:ascii="仿宋_GB2312" w:hAnsi="仿宋" w:eastAsia="仿宋_GB2312" w:cs="宋体"/>
          <w:kern w:val="0"/>
          <w:sz w:val="32"/>
          <w:szCs w:val="32"/>
          <w:lang w:val="en-US" w:eastAsia="zh-CN" w:bidi="ar-SA"/>
        </w:rPr>
        <w:t>物价上涨、业务量增大，所需办公费、印刷费、邮电费、办公用水用电等费用相应增加</w:t>
      </w:r>
      <w:r>
        <w:rPr>
          <w:rFonts w:ascii="仿宋" w:hAnsi="仿宋" w:eastAsia="仿宋"/>
          <w:sz w:val="32"/>
          <w:szCs w:val="32"/>
        </w:rPr>
        <w:t>。</w:t>
      </w:r>
    </w:p>
    <w:p>
      <w:pPr>
        <w:spacing w:line="584" w:lineRule="exact"/>
        <w:ind w:firstLine="643" w:firstLineChars="200"/>
        <w:rPr>
          <w:rFonts w:ascii="楷体" w:hAnsi="楷体" w:eastAsia="楷体"/>
          <w:b/>
          <w:bCs/>
          <w:sz w:val="32"/>
          <w:szCs w:val="32"/>
        </w:rPr>
      </w:pPr>
      <w:r>
        <w:rPr>
          <w:rFonts w:ascii="楷体" w:hAnsi="楷体" w:eastAsia="楷体"/>
          <w:b/>
          <w:bCs/>
          <w:sz w:val="32"/>
          <w:szCs w:val="32"/>
        </w:rPr>
        <w:t>（二）财政拨款收支与年初预算数对比情况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本部门2017年度一般公共预算财政拨款本年收入较2017年初预算减少</w:t>
      </w:r>
      <w:r>
        <w:rPr>
          <w:rFonts w:hint="eastAsia" w:ascii="仿宋" w:hAnsi="仿宋" w:eastAsia="仿宋"/>
          <w:sz w:val="32"/>
          <w:szCs w:val="32"/>
          <w:lang w:val="en-US" w:eastAsia="zh-CN"/>
        </w:rPr>
        <w:t>22.89</w:t>
      </w:r>
      <w:r>
        <w:rPr>
          <w:rFonts w:ascii="仿宋" w:hAnsi="仿宋" w:eastAsia="仿宋"/>
          <w:sz w:val="32"/>
          <w:szCs w:val="32"/>
        </w:rPr>
        <w:t>万元，降低</w:t>
      </w:r>
      <w:r>
        <w:rPr>
          <w:rFonts w:hint="eastAsia" w:ascii="仿宋" w:hAnsi="仿宋" w:eastAsia="仿宋"/>
          <w:sz w:val="32"/>
          <w:szCs w:val="32"/>
          <w:lang w:val="en-US" w:eastAsia="zh-CN"/>
        </w:rPr>
        <w:t>7.4</w:t>
      </w:r>
      <w:r>
        <w:rPr>
          <w:rFonts w:ascii="仿宋" w:hAnsi="仿宋" w:eastAsia="仿宋"/>
          <w:sz w:val="32"/>
          <w:szCs w:val="32"/>
        </w:rPr>
        <w:t>%，主要原因是</w:t>
      </w:r>
      <w:r>
        <w:rPr>
          <w:rFonts w:hint="eastAsia" w:ascii="仿宋" w:hAnsi="仿宋" w:eastAsia="仿宋"/>
          <w:sz w:val="32"/>
          <w:szCs w:val="32"/>
          <w:lang w:val="en-US" w:eastAsia="zh-CN"/>
        </w:rPr>
        <w:t>压缩经费支出</w:t>
      </w:r>
      <w:r>
        <w:rPr>
          <w:rFonts w:ascii="仿宋" w:hAnsi="仿宋" w:eastAsia="仿宋"/>
          <w:sz w:val="32"/>
          <w:szCs w:val="32"/>
        </w:rPr>
        <w:t>；本年支出减少</w:t>
      </w:r>
      <w:r>
        <w:rPr>
          <w:rFonts w:hint="eastAsia" w:ascii="仿宋" w:hAnsi="仿宋" w:eastAsia="仿宋"/>
          <w:sz w:val="32"/>
          <w:szCs w:val="32"/>
          <w:lang w:val="en-US" w:eastAsia="zh-CN"/>
        </w:rPr>
        <w:t>28.31</w:t>
      </w:r>
      <w:r>
        <w:rPr>
          <w:rFonts w:ascii="仿宋" w:hAnsi="仿宋" w:eastAsia="仿宋"/>
          <w:sz w:val="32"/>
          <w:szCs w:val="32"/>
        </w:rPr>
        <w:t>万元，降低</w:t>
      </w:r>
      <w:r>
        <w:rPr>
          <w:rFonts w:hint="eastAsia" w:ascii="仿宋" w:hAnsi="仿宋" w:eastAsia="仿宋"/>
          <w:sz w:val="32"/>
          <w:szCs w:val="32"/>
          <w:lang w:val="en-US" w:eastAsia="zh-CN"/>
        </w:rPr>
        <w:t>9.7</w:t>
      </w:r>
      <w:r>
        <w:rPr>
          <w:rFonts w:ascii="仿宋" w:hAnsi="仿宋" w:eastAsia="仿宋"/>
          <w:sz w:val="32"/>
          <w:szCs w:val="32"/>
        </w:rPr>
        <w:t>%，主要原因是</w:t>
      </w:r>
      <w:r>
        <w:rPr>
          <w:rFonts w:hint="eastAsia" w:ascii="仿宋" w:hAnsi="仿宋" w:eastAsia="仿宋"/>
          <w:sz w:val="32"/>
          <w:szCs w:val="32"/>
          <w:lang w:val="en-US" w:eastAsia="zh-CN"/>
        </w:rPr>
        <w:t>压缩经费支出</w:t>
      </w:r>
      <w:r>
        <w:rPr>
          <w:rFonts w:ascii="仿宋" w:hAnsi="仿宋" w:eastAsia="仿宋"/>
          <w:sz w:val="32"/>
          <w:szCs w:val="32"/>
        </w:rPr>
        <w:t>。</w:t>
      </w:r>
    </w:p>
    <w:p>
      <w:pPr>
        <w:pStyle w:val="3"/>
        <w:spacing w:before="0" w:after="0" w:line="584" w:lineRule="exact"/>
        <w:ind w:firstLine="640" w:firstLineChars="200"/>
        <w:rPr>
          <w:rFonts w:ascii="仿宋" w:hAnsi="仿宋" w:eastAsia="仿宋"/>
          <w:b w:val="0"/>
        </w:rPr>
      </w:pPr>
      <w:r>
        <w:rPr>
          <w:rFonts w:ascii="Times New Roman" w:hAnsi="Times New Roman" w:eastAsia="黑体"/>
          <w:b w:val="0"/>
        </w:rPr>
        <w:t>五、一般公共预算财政拨款“三公” 经费支出决算情况说明</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本部门2017年度一般公共预算财政拨款“三公”经费支出共计</w:t>
      </w:r>
      <w:r>
        <w:rPr>
          <w:rFonts w:hint="eastAsia" w:ascii="仿宋" w:hAnsi="仿宋" w:eastAsia="仿宋"/>
          <w:sz w:val="32"/>
          <w:szCs w:val="32"/>
          <w:lang w:val="en-US" w:eastAsia="zh-CN"/>
        </w:rPr>
        <w:t>2.01</w:t>
      </w:r>
      <w:r>
        <w:rPr>
          <w:rFonts w:ascii="仿宋" w:hAnsi="仿宋" w:eastAsia="仿宋"/>
          <w:sz w:val="32"/>
          <w:szCs w:val="32"/>
        </w:rPr>
        <w:t>万元，较年初预算增加</w:t>
      </w:r>
      <w:r>
        <w:rPr>
          <w:rFonts w:hint="eastAsia" w:ascii="仿宋" w:hAnsi="仿宋" w:eastAsia="仿宋"/>
          <w:sz w:val="32"/>
          <w:szCs w:val="32"/>
          <w:lang w:val="en-US" w:eastAsia="zh-CN"/>
        </w:rPr>
        <w:t>0.01</w:t>
      </w:r>
      <w:r>
        <w:rPr>
          <w:rFonts w:ascii="仿宋" w:hAnsi="仿宋" w:eastAsia="仿宋"/>
          <w:sz w:val="32"/>
          <w:szCs w:val="32"/>
        </w:rPr>
        <w:t>万元，增长</w:t>
      </w:r>
      <w:r>
        <w:rPr>
          <w:rFonts w:hint="eastAsia" w:ascii="仿宋" w:hAnsi="仿宋" w:eastAsia="仿宋"/>
          <w:sz w:val="32"/>
          <w:szCs w:val="32"/>
          <w:lang w:val="en-US" w:eastAsia="zh-CN"/>
        </w:rPr>
        <w:t>0.5</w:t>
      </w:r>
      <w:r>
        <w:rPr>
          <w:rFonts w:ascii="仿宋" w:hAnsi="仿宋" w:eastAsia="仿宋"/>
          <w:sz w:val="32"/>
          <w:szCs w:val="32"/>
        </w:rPr>
        <w:t>%，主要原因是</w:t>
      </w:r>
      <w:r>
        <w:rPr>
          <w:rFonts w:hint="eastAsia" w:ascii="仿宋" w:hAnsi="仿宋" w:eastAsia="仿宋"/>
          <w:sz w:val="32"/>
          <w:szCs w:val="32"/>
          <w:lang w:val="en-US" w:eastAsia="zh-CN"/>
        </w:rPr>
        <w:t>公务用车车龄较大，修理费用增大</w:t>
      </w:r>
      <w:r>
        <w:rPr>
          <w:rFonts w:ascii="仿宋" w:hAnsi="仿宋" w:eastAsia="仿宋"/>
          <w:sz w:val="32"/>
          <w:szCs w:val="32"/>
        </w:rPr>
        <w:t>；较2016年度决算减少</w:t>
      </w:r>
      <w:r>
        <w:rPr>
          <w:rFonts w:hint="eastAsia" w:ascii="仿宋" w:hAnsi="仿宋" w:eastAsia="仿宋"/>
          <w:sz w:val="32"/>
          <w:szCs w:val="32"/>
          <w:lang w:val="en-US" w:eastAsia="zh-CN"/>
        </w:rPr>
        <w:t>0.1</w:t>
      </w:r>
      <w:r>
        <w:rPr>
          <w:rFonts w:ascii="仿宋" w:hAnsi="仿宋" w:eastAsia="仿宋"/>
          <w:sz w:val="32"/>
          <w:szCs w:val="32"/>
        </w:rPr>
        <w:t>万元，降低</w:t>
      </w:r>
      <w:r>
        <w:rPr>
          <w:rFonts w:hint="eastAsia" w:ascii="仿宋" w:hAnsi="仿宋" w:eastAsia="仿宋"/>
          <w:sz w:val="32"/>
          <w:szCs w:val="32"/>
          <w:lang w:val="en-US" w:eastAsia="zh-CN"/>
        </w:rPr>
        <w:t>4.7</w:t>
      </w:r>
      <w:r>
        <w:rPr>
          <w:rFonts w:ascii="仿宋" w:hAnsi="仿宋" w:eastAsia="仿宋"/>
          <w:sz w:val="32"/>
          <w:szCs w:val="32"/>
        </w:rPr>
        <w:t>%，主要原因是</w:t>
      </w:r>
      <w:r>
        <w:rPr>
          <w:rFonts w:hint="eastAsia" w:ascii="仿宋_GB2312" w:hAnsi="仿宋" w:eastAsia="仿宋_GB2312" w:cs="宋体"/>
          <w:kern w:val="0"/>
          <w:sz w:val="32"/>
          <w:szCs w:val="32"/>
          <w:lang w:val="en-US" w:eastAsia="zh-CN" w:bidi="ar-SA"/>
        </w:rPr>
        <w:t>加强车辆管理,进一步严控“三公”经费开支</w:t>
      </w:r>
      <w:r>
        <w:rPr>
          <w:rFonts w:ascii="仿宋" w:hAnsi="仿宋" w:eastAsia="仿宋"/>
          <w:sz w:val="32"/>
          <w:szCs w:val="32"/>
        </w:rPr>
        <w:t>。具体情况如下：</w:t>
      </w:r>
    </w:p>
    <w:p>
      <w:pPr>
        <w:numPr>
          <w:ilvl w:val="0"/>
          <w:numId w:val="2"/>
        </w:numPr>
        <w:adjustRightInd w:val="0"/>
        <w:snapToGrid w:val="0"/>
        <w:spacing w:line="584" w:lineRule="exact"/>
        <w:ind w:firstLine="643" w:firstLineChars="200"/>
        <w:rPr>
          <w:rFonts w:ascii="仿宋" w:hAnsi="仿宋" w:eastAsia="仿宋"/>
          <w:sz w:val="32"/>
          <w:szCs w:val="32"/>
        </w:rPr>
      </w:pPr>
      <w:r>
        <w:rPr>
          <w:rFonts w:ascii="楷体" w:hAnsi="楷体" w:eastAsia="楷体"/>
          <w:b/>
          <w:bCs/>
          <w:sz w:val="32"/>
          <w:szCs w:val="32"/>
        </w:rPr>
        <w:t>因公出国（境）费支出</w:t>
      </w:r>
      <w:r>
        <w:rPr>
          <w:rFonts w:hint="eastAsia" w:ascii="楷体" w:hAnsi="楷体" w:eastAsia="楷体"/>
          <w:b/>
          <w:bCs/>
          <w:sz w:val="32"/>
          <w:szCs w:val="32"/>
          <w:lang w:val="en-US" w:eastAsia="zh-CN"/>
        </w:rPr>
        <w:t>0</w:t>
      </w:r>
      <w:r>
        <w:rPr>
          <w:rFonts w:ascii="楷体" w:hAnsi="楷体" w:eastAsia="楷体"/>
          <w:b/>
          <w:bCs/>
          <w:sz w:val="32"/>
          <w:szCs w:val="32"/>
        </w:rPr>
        <w:t>万元。</w:t>
      </w:r>
      <w:r>
        <w:rPr>
          <w:rFonts w:ascii="仿宋" w:hAnsi="仿宋" w:eastAsia="仿宋"/>
          <w:sz w:val="32"/>
          <w:szCs w:val="32"/>
        </w:rPr>
        <w:t>本部门2017年度因公出国（境）团组</w:t>
      </w:r>
      <w:r>
        <w:rPr>
          <w:rFonts w:hint="eastAsia" w:ascii="仿宋" w:hAnsi="仿宋" w:eastAsia="仿宋"/>
          <w:sz w:val="32"/>
          <w:szCs w:val="32"/>
          <w:lang w:val="en-US" w:eastAsia="zh-CN"/>
        </w:rPr>
        <w:t>0</w:t>
      </w:r>
      <w:r>
        <w:rPr>
          <w:rFonts w:ascii="仿宋" w:hAnsi="仿宋" w:eastAsia="仿宋"/>
          <w:sz w:val="32"/>
          <w:szCs w:val="32"/>
        </w:rPr>
        <w:t xml:space="preserve"> 个，因公出国（境）人次数</w:t>
      </w:r>
      <w:r>
        <w:rPr>
          <w:rFonts w:hint="eastAsia" w:ascii="仿宋" w:hAnsi="仿宋" w:eastAsia="仿宋"/>
          <w:sz w:val="32"/>
          <w:szCs w:val="32"/>
          <w:lang w:val="en-US" w:eastAsia="zh-CN"/>
        </w:rPr>
        <w:t>0</w:t>
      </w:r>
      <w:r>
        <w:rPr>
          <w:rFonts w:ascii="仿宋" w:hAnsi="仿宋" w:eastAsia="仿宋"/>
          <w:sz w:val="32"/>
          <w:szCs w:val="32"/>
        </w:rPr>
        <w:t>人。因公出国（境）费支出较年初预算</w:t>
      </w:r>
      <w:r>
        <w:rPr>
          <w:rFonts w:hint="eastAsia" w:ascii="仿宋" w:hAnsi="仿宋" w:eastAsia="仿宋"/>
          <w:sz w:val="32"/>
          <w:szCs w:val="32"/>
          <w:lang w:val="en-US" w:eastAsia="zh-CN"/>
        </w:rPr>
        <w:t>持平，</w:t>
      </w:r>
      <w:r>
        <w:rPr>
          <w:rFonts w:hint="eastAsia" w:ascii="仿宋" w:hAnsi="仿宋" w:eastAsia="仿宋"/>
          <w:sz w:val="32"/>
          <w:szCs w:val="32"/>
        </w:rPr>
        <w:t>无增减变化</w:t>
      </w:r>
      <w:r>
        <w:rPr>
          <w:rFonts w:ascii="仿宋" w:hAnsi="仿宋" w:eastAsia="仿宋"/>
          <w:sz w:val="32"/>
          <w:szCs w:val="32"/>
        </w:rPr>
        <w:t>；较2016年度决算</w:t>
      </w:r>
      <w:r>
        <w:rPr>
          <w:rFonts w:hint="eastAsia" w:ascii="仿宋" w:hAnsi="仿宋" w:eastAsia="仿宋"/>
          <w:sz w:val="32"/>
          <w:szCs w:val="32"/>
          <w:lang w:val="en-US" w:eastAsia="zh-CN"/>
        </w:rPr>
        <w:t>持平，</w:t>
      </w:r>
      <w:r>
        <w:rPr>
          <w:rFonts w:hint="eastAsia" w:ascii="仿宋" w:hAnsi="仿宋" w:eastAsia="仿宋"/>
          <w:sz w:val="32"/>
          <w:szCs w:val="32"/>
        </w:rPr>
        <w:t>无增减变化</w:t>
      </w:r>
      <w:r>
        <w:rPr>
          <w:rFonts w:ascii="仿宋" w:hAnsi="仿宋" w:eastAsia="仿宋"/>
          <w:sz w:val="32"/>
          <w:szCs w:val="32"/>
        </w:rPr>
        <w:t>。</w:t>
      </w:r>
    </w:p>
    <w:p>
      <w:pPr>
        <w:adjustRightInd w:val="0"/>
        <w:snapToGrid w:val="0"/>
        <w:spacing w:line="584" w:lineRule="exact"/>
        <w:ind w:firstLine="643" w:firstLineChars="200"/>
        <w:rPr>
          <w:rFonts w:ascii="楷体" w:hAnsi="楷体" w:eastAsia="楷体"/>
          <w:b/>
          <w:bCs/>
          <w:sz w:val="32"/>
          <w:szCs w:val="32"/>
        </w:rPr>
      </w:pPr>
      <w:r>
        <w:rPr>
          <w:rFonts w:ascii="楷体" w:hAnsi="楷体" w:eastAsia="楷体"/>
          <w:b/>
          <w:bCs/>
          <w:sz w:val="32"/>
          <w:szCs w:val="32"/>
        </w:rPr>
        <w:t>（二）公务用车购置及运行维护费支出</w:t>
      </w:r>
      <w:r>
        <w:rPr>
          <w:rFonts w:hint="eastAsia" w:ascii="楷体" w:hAnsi="楷体" w:eastAsia="楷体"/>
          <w:b/>
          <w:bCs/>
          <w:sz w:val="32"/>
          <w:szCs w:val="32"/>
          <w:lang w:val="en-US" w:eastAsia="zh-CN"/>
        </w:rPr>
        <w:t>2.01</w:t>
      </w:r>
      <w:r>
        <w:rPr>
          <w:rFonts w:ascii="楷体" w:hAnsi="楷体" w:eastAsia="楷体"/>
          <w:b/>
          <w:bCs/>
          <w:sz w:val="32"/>
          <w:szCs w:val="32"/>
        </w:rPr>
        <w:t>万元。其中：</w:t>
      </w:r>
    </w:p>
    <w:p>
      <w:pPr>
        <w:adjustRightInd w:val="0"/>
        <w:snapToGrid w:val="0"/>
        <w:spacing w:line="584" w:lineRule="exact"/>
        <w:ind w:firstLine="643" w:firstLineChars="200"/>
        <w:rPr>
          <w:rFonts w:ascii="仿宋" w:hAnsi="仿宋" w:eastAsia="仿宋"/>
          <w:sz w:val="32"/>
          <w:szCs w:val="32"/>
        </w:rPr>
      </w:pPr>
      <w:r>
        <w:rPr>
          <w:rFonts w:ascii="仿宋" w:hAnsi="仿宋" w:eastAsia="仿宋"/>
          <w:b/>
          <w:sz w:val="32"/>
          <w:szCs w:val="32"/>
        </w:rPr>
        <w:t>公务用车购置费支出</w:t>
      </w:r>
      <w:r>
        <w:rPr>
          <w:rFonts w:hint="eastAsia" w:ascii="仿宋" w:hAnsi="仿宋" w:eastAsia="仿宋"/>
          <w:b/>
          <w:sz w:val="32"/>
          <w:szCs w:val="32"/>
          <w:lang w:val="en-US" w:eastAsia="zh-CN"/>
        </w:rPr>
        <w:t>0</w:t>
      </w:r>
      <w:r>
        <w:rPr>
          <w:rFonts w:ascii="仿宋" w:hAnsi="仿宋" w:eastAsia="仿宋"/>
          <w:b/>
          <w:sz w:val="32"/>
          <w:szCs w:val="32"/>
        </w:rPr>
        <w:t>万元。</w:t>
      </w:r>
      <w:r>
        <w:rPr>
          <w:rFonts w:ascii="仿宋" w:hAnsi="仿宋" w:eastAsia="仿宋"/>
          <w:sz w:val="32"/>
          <w:szCs w:val="32"/>
        </w:rPr>
        <w:t>本部门2017年度公务用车购置数量</w:t>
      </w:r>
      <w:r>
        <w:rPr>
          <w:rFonts w:hint="eastAsia" w:ascii="仿宋" w:hAnsi="仿宋" w:eastAsia="仿宋"/>
          <w:sz w:val="32"/>
          <w:szCs w:val="32"/>
          <w:lang w:val="en-US" w:eastAsia="zh-CN"/>
        </w:rPr>
        <w:t>0</w:t>
      </w:r>
      <w:r>
        <w:rPr>
          <w:rFonts w:ascii="仿宋" w:hAnsi="仿宋" w:eastAsia="仿宋"/>
          <w:sz w:val="32"/>
          <w:szCs w:val="32"/>
        </w:rPr>
        <w:t>辆。公务用车购置费支出较年初预算</w:t>
      </w:r>
      <w:r>
        <w:rPr>
          <w:rFonts w:hint="eastAsia" w:ascii="仿宋" w:hAnsi="仿宋" w:eastAsia="仿宋"/>
          <w:sz w:val="32"/>
          <w:szCs w:val="32"/>
          <w:lang w:val="en-US" w:eastAsia="zh-CN"/>
        </w:rPr>
        <w:t>持平，</w:t>
      </w:r>
      <w:r>
        <w:rPr>
          <w:rFonts w:hint="eastAsia" w:ascii="仿宋" w:hAnsi="仿宋" w:eastAsia="仿宋"/>
          <w:sz w:val="32"/>
          <w:szCs w:val="32"/>
        </w:rPr>
        <w:t>无增减变化</w:t>
      </w:r>
      <w:r>
        <w:rPr>
          <w:rFonts w:ascii="仿宋" w:hAnsi="仿宋" w:eastAsia="仿宋"/>
          <w:sz w:val="32"/>
          <w:szCs w:val="32"/>
        </w:rPr>
        <w:t>；较2016年度决算</w:t>
      </w:r>
      <w:r>
        <w:rPr>
          <w:rFonts w:hint="eastAsia" w:ascii="仿宋" w:hAnsi="仿宋" w:eastAsia="仿宋"/>
          <w:sz w:val="32"/>
          <w:szCs w:val="32"/>
          <w:lang w:val="en-US" w:eastAsia="zh-CN"/>
        </w:rPr>
        <w:t>持平，</w:t>
      </w:r>
      <w:r>
        <w:rPr>
          <w:rFonts w:hint="eastAsia" w:ascii="仿宋" w:hAnsi="仿宋" w:eastAsia="仿宋"/>
          <w:sz w:val="32"/>
          <w:szCs w:val="32"/>
        </w:rPr>
        <w:t>无增减变化</w:t>
      </w:r>
      <w:r>
        <w:rPr>
          <w:rFonts w:ascii="仿宋" w:hAnsi="仿宋" w:eastAsia="仿宋"/>
          <w:sz w:val="32"/>
          <w:szCs w:val="32"/>
        </w:rPr>
        <w:t>。</w:t>
      </w:r>
    </w:p>
    <w:p>
      <w:pPr>
        <w:adjustRightInd w:val="0"/>
        <w:snapToGrid w:val="0"/>
        <w:spacing w:line="584" w:lineRule="exact"/>
        <w:ind w:firstLine="643" w:firstLineChars="200"/>
        <w:rPr>
          <w:rFonts w:ascii="仿宋" w:hAnsi="仿宋" w:eastAsia="仿宋"/>
          <w:sz w:val="32"/>
          <w:szCs w:val="32"/>
        </w:rPr>
      </w:pPr>
      <w:r>
        <w:rPr>
          <w:rFonts w:ascii="仿宋" w:hAnsi="仿宋" w:eastAsia="仿宋"/>
          <w:b/>
          <w:sz w:val="32"/>
          <w:szCs w:val="32"/>
        </w:rPr>
        <w:t>公务用车运行维护费支出</w:t>
      </w:r>
      <w:r>
        <w:rPr>
          <w:rFonts w:hint="eastAsia" w:ascii="仿宋" w:hAnsi="仿宋" w:eastAsia="仿宋"/>
          <w:b/>
          <w:sz w:val="32"/>
          <w:szCs w:val="32"/>
          <w:lang w:val="en-US" w:eastAsia="zh-CN"/>
        </w:rPr>
        <w:t>2.01</w:t>
      </w:r>
      <w:r>
        <w:rPr>
          <w:rFonts w:ascii="仿宋" w:hAnsi="仿宋" w:eastAsia="仿宋"/>
          <w:b/>
          <w:sz w:val="32"/>
          <w:szCs w:val="32"/>
        </w:rPr>
        <w:t>万元。</w:t>
      </w:r>
      <w:r>
        <w:rPr>
          <w:rFonts w:ascii="仿宋" w:hAnsi="仿宋" w:eastAsia="仿宋"/>
          <w:sz w:val="32"/>
          <w:szCs w:val="32"/>
        </w:rPr>
        <w:t>本部门2017年末单位公务用车保有量</w:t>
      </w:r>
      <w:r>
        <w:rPr>
          <w:rFonts w:hint="eastAsia" w:ascii="仿宋" w:hAnsi="仿宋" w:eastAsia="仿宋"/>
          <w:sz w:val="32"/>
          <w:szCs w:val="32"/>
          <w:lang w:val="en-US" w:eastAsia="zh-CN"/>
        </w:rPr>
        <w:t>1</w:t>
      </w:r>
      <w:r>
        <w:rPr>
          <w:rFonts w:ascii="仿宋" w:hAnsi="仿宋" w:eastAsia="仿宋"/>
          <w:sz w:val="32"/>
          <w:szCs w:val="32"/>
        </w:rPr>
        <w:t>辆。公车运行维护费支出较年初预算增加</w:t>
      </w:r>
      <w:r>
        <w:rPr>
          <w:rFonts w:hint="eastAsia" w:ascii="仿宋" w:hAnsi="仿宋" w:eastAsia="仿宋"/>
          <w:sz w:val="32"/>
          <w:szCs w:val="32"/>
          <w:lang w:val="en-US" w:eastAsia="zh-CN"/>
        </w:rPr>
        <w:t>0.01</w:t>
      </w:r>
      <w:r>
        <w:rPr>
          <w:rFonts w:ascii="仿宋" w:hAnsi="仿宋" w:eastAsia="仿宋"/>
          <w:sz w:val="32"/>
          <w:szCs w:val="32"/>
        </w:rPr>
        <w:t>万元，增长</w:t>
      </w:r>
      <w:r>
        <w:rPr>
          <w:rFonts w:hint="eastAsia" w:ascii="仿宋" w:hAnsi="仿宋" w:eastAsia="仿宋"/>
          <w:sz w:val="32"/>
          <w:szCs w:val="32"/>
          <w:lang w:val="en-US" w:eastAsia="zh-CN"/>
        </w:rPr>
        <w:t>0.5</w:t>
      </w:r>
      <w:r>
        <w:rPr>
          <w:rFonts w:ascii="仿宋" w:hAnsi="仿宋" w:eastAsia="仿宋"/>
          <w:sz w:val="32"/>
          <w:szCs w:val="32"/>
        </w:rPr>
        <w:t>%，主要原因是是</w:t>
      </w:r>
      <w:r>
        <w:rPr>
          <w:rFonts w:hint="eastAsia" w:ascii="仿宋" w:hAnsi="仿宋" w:eastAsia="仿宋"/>
          <w:sz w:val="32"/>
          <w:szCs w:val="32"/>
          <w:lang w:val="en-US" w:eastAsia="zh-CN"/>
        </w:rPr>
        <w:t>公务用车车龄较大，修理费用增大</w:t>
      </w:r>
      <w:r>
        <w:rPr>
          <w:rFonts w:ascii="仿宋" w:hAnsi="仿宋" w:eastAsia="仿宋"/>
          <w:sz w:val="32"/>
          <w:szCs w:val="32"/>
        </w:rPr>
        <w:t>；较2016年度决算减少</w:t>
      </w:r>
      <w:r>
        <w:rPr>
          <w:rFonts w:hint="eastAsia" w:ascii="仿宋" w:hAnsi="仿宋" w:eastAsia="仿宋"/>
          <w:sz w:val="32"/>
          <w:szCs w:val="32"/>
          <w:lang w:val="en-US" w:eastAsia="zh-CN"/>
        </w:rPr>
        <w:t>0.1</w:t>
      </w:r>
      <w:r>
        <w:rPr>
          <w:rFonts w:ascii="仿宋" w:hAnsi="仿宋" w:eastAsia="仿宋"/>
          <w:sz w:val="32"/>
          <w:szCs w:val="32"/>
        </w:rPr>
        <w:t>万元，降低</w:t>
      </w:r>
      <w:r>
        <w:rPr>
          <w:rFonts w:hint="eastAsia" w:ascii="仿宋" w:hAnsi="仿宋" w:eastAsia="仿宋"/>
          <w:sz w:val="32"/>
          <w:szCs w:val="32"/>
          <w:lang w:val="en-US" w:eastAsia="zh-CN"/>
        </w:rPr>
        <w:t>4.7</w:t>
      </w:r>
      <w:r>
        <w:rPr>
          <w:rFonts w:ascii="仿宋" w:hAnsi="仿宋" w:eastAsia="仿宋"/>
          <w:sz w:val="32"/>
          <w:szCs w:val="32"/>
        </w:rPr>
        <w:t>%，主要原因是</w:t>
      </w:r>
      <w:r>
        <w:rPr>
          <w:rFonts w:hint="eastAsia" w:ascii="仿宋_GB2312" w:hAnsi="仿宋" w:eastAsia="仿宋_GB2312" w:cs="宋体"/>
          <w:kern w:val="0"/>
          <w:sz w:val="32"/>
          <w:szCs w:val="32"/>
          <w:lang w:val="en-US" w:eastAsia="zh-CN" w:bidi="ar-SA"/>
        </w:rPr>
        <w:t>加强车辆管理,进一步严控“三公”经费开支</w:t>
      </w:r>
      <w:r>
        <w:rPr>
          <w:rFonts w:ascii="仿宋" w:hAnsi="仿宋" w:eastAsia="仿宋"/>
          <w:sz w:val="32"/>
          <w:szCs w:val="32"/>
        </w:rPr>
        <w:t>。</w:t>
      </w:r>
    </w:p>
    <w:p>
      <w:pPr>
        <w:adjustRightInd w:val="0"/>
        <w:snapToGrid w:val="0"/>
        <w:spacing w:line="584" w:lineRule="exact"/>
        <w:ind w:firstLine="643" w:firstLineChars="200"/>
        <w:rPr>
          <w:rFonts w:ascii="仿宋" w:hAnsi="仿宋" w:eastAsia="仿宋"/>
          <w:sz w:val="32"/>
          <w:szCs w:val="32"/>
        </w:rPr>
      </w:pPr>
      <w:r>
        <w:rPr>
          <w:rFonts w:ascii="楷体" w:hAnsi="楷体" w:eastAsia="楷体"/>
          <w:b/>
          <w:bCs/>
          <w:sz w:val="32"/>
          <w:szCs w:val="32"/>
        </w:rPr>
        <w:t>（三）公务接待费支出</w:t>
      </w:r>
      <w:r>
        <w:rPr>
          <w:rFonts w:hint="eastAsia" w:ascii="楷体" w:hAnsi="楷体" w:eastAsia="楷体"/>
          <w:b/>
          <w:bCs/>
          <w:sz w:val="32"/>
          <w:szCs w:val="32"/>
          <w:lang w:val="en-US" w:eastAsia="zh-CN"/>
        </w:rPr>
        <w:t>0</w:t>
      </w:r>
      <w:r>
        <w:rPr>
          <w:rFonts w:ascii="楷体" w:hAnsi="楷体" w:eastAsia="楷体"/>
          <w:b/>
          <w:bCs/>
          <w:sz w:val="32"/>
          <w:szCs w:val="32"/>
        </w:rPr>
        <w:t>万元。</w:t>
      </w:r>
      <w:r>
        <w:rPr>
          <w:rFonts w:ascii="仿宋" w:hAnsi="仿宋" w:eastAsia="仿宋"/>
          <w:sz w:val="32"/>
          <w:szCs w:val="32"/>
        </w:rPr>
        <w:t>本部门2017年度公务接待共</w:t>
      </w:r>
      <w:r>
        <w:rPr>
          <w:rFonts w:hint="eastAsia" w:ascii="仿宋" w:hAnsi="仿宋" w:eastAsia="仿宋"/>
          <w:sz w:val="32"/>
          <w:szCs w:val="32"/>
          <w:lang w:val="en-US" w:eastAsia="zh-CN"/>
        </w:rPr>
        <w:t>0</w:t>
      </w:r>
      <w:r>
        <w:rPr>
          <w:rFonts w:ascii="仿宋" w:hAnsi="仿宋" w:eastAsia="仿宋"/>
          <w:sz w:val="32"/>
          <w:szCs w:val="32"/>
        </w:rPr>
        <w:t>批次、</w:t>
      </w:r>
      <w:r>
        <w:rPr>
          <w:rFonts w:hint="eastAsia" w:ascii="仿宋" w:hAnsi="仿宋" w:eastAsia="仿宋"/>
          <w:sz w:val="32"/>
          <w:szCs w:val="32"/>
          <w:lang w:val="en-US" w:eastAsia="zh-CN"/>
        </w:rPr>
        <w:t>0</w:t>
      </w:r>
      <w:r>
        <w:rPr>
          <w:rFonts w:ascii="仿宋" w:hAnsi="仿宋" w:eastAsia="仿宋"/>
          <w:sz w:val="32"/>
          <w:szCs w:val="32"/>
        </w:rPr>
        <w:t>人次。公务接待费支出较年初预算</w:t>
      </w:r>
      <w:r>
        <w:rPr>
          <w:rFonts w:hint="eastAsia" w:ascii="仿宋" w:hAnsi="仿宋" w:eastAsia="仿宋"/>
          <w:sz w:val="32"/>
          <w:szCs w:val="32"/>
          <w:lang w:val="en-US" w:eastAsia="zh-CN"/>
        </w:rPr>
        <w:t>持平，</w:t>
      </w:r>
      <w:r>
        <w:rPr>
          <w:rFonts w:hint="eastAsia" w:ascii="仿宋" w:hAnsi="仿宋" w:eastAsia="仿宋"/>
          <w:sz w:val="32"/>
          <w:szCs w:val="32"/>
        </w:rPr>
        <w:t>无增减变化</w:t>
      </w:r>
      <w:r>
        <w:rPr>
          <w:rFonts w:ascii="仿宋" w:hAnsi="仿宋" w:eastAsia="仿宋"/>
          <w:sz w:val="32"/>
          <w:szCs w:val="32"/>
        </w:rPr>
        <w:t>；较2016年度决算</w:t>
      </w:r>
      <w:r>
        <w:rPr>
          <w:rFonts w:hint="eastAsia" w:ascii="仿宋" w:hAnsi="仿宋" w:eastAsia="仿宋"/>
          <w:sz w:val="32"/>
          <w:szCs w:val="32"/>
          <w:lang w:val="en-US" w:eastAsia="zh-CN"/>
        </w:rPr>
        <w:t>持平，</w:t>
      </w:r>
      <w:r>
        <w:rPr>
          <w:rFonts w:hint="eastAsia" w:ascii="仿宋" w:hAnsi="仿宋" w:eastAsia="仿宋"/>
          <w:sz w:val="32"/>
          <w:szCs w:val="32"/>
        </w:rPr>
        <w:t>无增减变化</w:t>
      </w:r>
      <w:r>
        <w:rPr>
          <w:rFonts w:ascii="仿宋" w:hAnsi="仿宋" w:eastAsia="仿宋"/>
          <w:sz w:val="32"/>
          <w:szCs w:val="32"/>
        </w:rPr>
        <w:t>。</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六、绩效预算</w:t>
      </w:r>
      <w:r>
        <w:rPr>
          <w:rFonts w:ascii="Times New Roman" w:hAnsi="Times New Roman" w:eastAsia="黑体"/>
          <w:b w:val="0"/>
          <w:kern w:val="0"/>
        </w:rPr>
        <w:t>管理</w:t>
      </w:r>
      <w:r>
        <w:rPr>
          <w:rFonts w:ascii="Times New Roman" w:hAnsi="Times New Roman" w:eastAsia="黑体"/>
          <w:b w:val="0"/>
        </w:rPr>
        <w:t>工作开展情况说明</w:t>
      </w:r>
    </w:p>
    <w:p>
      <w:pPr>
        <w:adjustRightInd w:val="0"/>
        <w:snapToGrid w:val="0"/>
        <w:spacing w:line="584" w:lineRule="exact"/>
        <w:ind w:firstLine="643" w:firstLineChars="200"/>
        <w:rPr>
          <w:rFonts w:ascii="楷体" w:hAnsi="楷体" w:eastAsia="楷体"/>
          <w:b/>
          <w:sz w:val="32"/>
          <w:szCs w:val="32"/>
        </w:rPr>
      </w:pPr>
      <w:r>
        <w:rPr>
          <w:rFonts w:ascii="楷体" w:hAnsi="楷体" w:eastAsia="楷体"/>
          <w:b/>
          <w:sz w:val="32"/>
          <w:szCs w:val="32"/>
        </w:rPr>
        <w:t>（一）绩效管理工作开展情况</w:t>
      </w:r>
    </w:p>
    <w:p>
      <w:pPr>
        <w:widowControl/>
        <w:ind w:firstLine="640"/>
        <w:jc w:val="left"/>
        <w:rPr>
          <w:rFonts w:hint="eastAsia" w:ascii="仿宋" w:hAnsi="仿宋" w:eastAsia="仿宋" w:cs="仿宋"/>
          <w:bCs/>
          <w:sz w:val="32"/>
          <w:szCs w:val="32"/>
          <w:lang w:val="en-US" w:eastAsia="zh-CN"/>
        </w:rPr>
      </w:pPr>
      <w:r>
        <w:rPr>
          <w:rFonts w:hint="eastAsia" w:ascii="仿宋" w:hAnsi="仿宋" w:eastAsia="仿宋" w:cs="Times New Roman"/>
          <w:kern w:val="2"/>
          <w:sz w:val="32"/>
          <w:szCs w:val="32"/>
          <w:lang w:val="en-US" w:eastAsia="zh-CN" w:bidi="ar-SA"/>
        </w:rPr>
        <w:t>2017年度本部门</w:t>
      </w:r>
      <w:r>
        <w:rPr>
          <w:rFonts w:hint="eastAsia" w:ascii="仿宋" w:hAnsi="仿宋" w:eastAsia="仿宋" w:cs="仿宋"/>
          <w:bCs/>
          <w:kern w:val="0"/>
          <w:sz w:val="32"/>
          <w:szCs w:val="32"/>
        </w:rPr>
        <w:t>认真按照《河北省预算绩效管理办法（试行）》、《河北省财政支出绩效评价管理办法》等制度规定</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根据工作要求结合</w:t>
      </w:r>
      <w:r>
        <w:rPr>
          <w:rFonts w:hint="eastAsia" w:ascii="仿宋" w:hAnsi="仿宋" w:eastAsia="仿宋" w:cs="仿宋"/>
          <w:bCs/>
          <w:kern w:val="0"/>
          <w:sz w:val="32"/>
          <w:szCs w:val="32"/>
          <w:lang w:val="en-US" w:eastAsia="zh-CN"/>
        </w:rPr>
        <w:t>本部门</w:t>
      </w:r>
      <w:r>
        <w:rPr>
          <w:rFonts w:hint="eastAsia" w:ascii="仿宋" w:hAnsi="仿宋" w:eastAsia="仿宋" w:cs="仿宋"/>
          <w:bCs/>
          <w:kern w:val="0"/>
          <w:sz w:val="32"/>
          <w:szCs w:val="32"/>
        </w:rPr>
        <w:t>实际，通过选定评价对象、调研项目情况、收集项目资料、完善评价指标、审核评价报告等一系列规范有序的程序，从预算编制与执行、资金分配与使用、资金监督与管理以及财务会计信息、项目组织管理、项目绩效完成等方面，采取目标预定与实施效果相比较、定量分析和定性分析相结合的方法，遵循“客观公正、公开透明”的原则，积极开展</w:t>
      </w:r>
      <w:r>
        <w:rPr>
          <w:rFonts w:hint="eastAsia" w:ascii="仿宋" w:hAnsi="仿宋" w:eastAsia="仿宋"/>
          <w:w w:val="95"/>
          <w:sz w:val="32"/>
          <w:szCs w:val="32"/>
        </w:rPr>
        <w:t>绩</w:t>
      </w:r>
      <w:r>
        <w:rPr>
          <w:rFonts w:hint="eastAsia" w:ascii="仿宋" w:hAnsi="仿宋" w:eastAsia="仿宋"/>
          <w:spacing w:val="1"/>
          <w:w w:val="95"/>
          <w:sz w:val="32"/>
          <w:szCs w:val="32"/>
        </w:rPr>
        <w:t>效</w:t>
      </w:r>
      <w:r>
        <w:rPr>
          <w:rFonts w:hint="eastAsia" w:ascii="仿宋" w:hAnsi="仿宋" w:eastAsia="仿宋"/>
          <w:w w:val="95"/>
          <w:sz w:val="32"/>
          <w:szCs w:val="32"/>
        </w:rPr>
        <w:t>自评</w:t>
      </w:r>
      <w:r>
        <w:rPr>
          <w:rFonts w:hint="eastAsia" w:ascii="仿宋" w:hAnsi="仿宋" w:eastAsia="仿宋" w:cs="仿宋"/>
          <w:bCs/>
          <w:kern w:val="0"/>
          <w:sz w:val="32"/>
          <w:szCs w:val="32"/>
        </w:rPr>
        <w:t>工作。</w:t>
      </w:r>
    </w:p>
    <w:p>
      <w:pPr>
        <w:numPr>
          <w:ilvl w:val="0"/>
          <w:numId w:val="2"/>
        </w:numPr>
        <w:adjustRightInd w:val="0"/>
        <w:snapToGrid w:val="0"/>
        <w:spacing w:line="584" w:lineRule="exact"/>
        <w:ind w:left="0" w:leftChars="0" w:firstLine="643" w:firstLineChars="200"/>
        <w:rPr>
          <w:rFonts w:ascii="楷体" w:hAnsi="楷体" w:eastAsia="楷体"/>
          <w:b/>
          <w:sz w:val="32"/>
          <w:szCs w:val="32"/>
        </w:rPr>
      </w:pPr>
      <w:r>
        <w:rPr>
          <w:rFonts w:ascii="楷体" w:hAnsi="楷体" w:eastAsia="楷体"/>
          <w:b/>
          <w:sz w:val="32"/>
          <w:szCs w:val="32"/>
        </w:rPr>
        <w:t>预算项目绩效评价开展情况</w:t>
      </w:r>
    </w:p>
    <w:p>
      <w:pPr>
        <w:widowControl/>
        <w:ind w:firstLine="640"/>
        <w:jc w:val="left"/>
        <w:rPr>
          <w:rFonts w:ascii="仿宋" w:hAnsi="仿宋" w:eastAsia="仿宋"/>
          <w:sz w:val="32"/>
          <w:szCs w:val="32"/>
        </w:rPr>
      </w:pPr>
      <w:r>
        <w:rPr>
          <w:rFonts w:hint="eastAsia" w:ascii="楷体" w:hAnsi="楷体" w:eastAsia="楷体"/>
          <w:b/>
          <w:sz w:val="32"/>
          <w:szCs w:val="32"/>
          <w:lang w:val="en-US" w:eastAsia="zh-CN"/>
        </w:rPr>
        <w:t xml:space="preserve"> </w:t>
      </w:r>
      <w:r>
        <w:rPr>
          <w:rFonts w:hint="eastAsia" w:ascii="仿宋" w:hAnsi="仿宋" w:eastAsia="仿宋" w:cs="仿宋"/>
          <w:bCs/>
          <w:kern w:val="0"/>
          <w:sz w:val="32"/>
          <w:szCs w:val="32"/>
          <w:lang w:val="en-US" w:eastAsia="zh-CN"/>
        </w:rPr>
        <w:t>制定工作方案，明确责任，确定指标细则；组织各科室准备自评材料，根据工作任务认真布署；</w:t>
      </w:r>
      <w:r>
        <w:rPr>
          <w:rFonts w:hint="eastAsia" w:ascii="仿宋" w:hAnsi="仿宋" w:eastAsia="仿宋" w:cs="仿宋"/>
          <w:bCs/>
          <w:kern w:val="0"/>
          <w:sz w:val="32"/>
          <w:szCs w:val="32"/>
        </w:rPr>
        <w:t>按照经济性、效率性、有效性的原则，定量分析与定性分析相结合的原则，真实性、科学性、规范性的原则，对重点项目制定绩效评价实施方案和绩效指标评价体系。</w:t>
      </w:r>
    </w:p>
    <w:p>
      <w:pPr>
        <w:adjustRightInd w:val="0"/>
        <w:snapToGrid w:val="0"/>
        <w:spacing w:line="584" w:lineRule="exact"/>
        <w:ind w:firstLine="643" w:firstLineChars="200"/>
        <w:rPr>
          <w:rFonts w:ascii="楷体" w:hAnsi="楷体" w:eastAsia="楷体"/>
          <w:b/>
          <w:sz w:val="32"/>
          <w:szCs w:val="32"/>
        </w:rPr>
      </w:pPr>
      <w:r>
        <w:rPr>
          <w:rFonts w:ascii="楷体" w:hAnsi="楷体" w:eastAsia="楷体"/>
          <w:b/>
          <w:sz w:val="32"/>
          <w:szCs w:val="32"/>
        </w:rPr>
        <w:t>（三）预算项目绩效自评选例</w:t>
      </w:r>
    </w:p>
    <w:p>
      <w:pPr>
        <w:widowControl/>
        <w:ind w:firstLine="640"/>
        <w:jc w:val="left"/>
        <w:rPr>
          <w:rFonts w:hint="default" w:ascii="仿宋" w:hAnsi="仿宋" w:eastAsia="仿宋" w:cs="仿宋"/>
          <w:b w:val="0"/>
          <w:bCs/>
          <w:kern w:val="0"/>
          <w:sz w:val="32"/>
          <w:szCs w:val="32"/>
          <w:lang w:val="en-US" w:eastAsia="zh-CN" w:bidi="ar-SA"/>
        </w:rPr>
      </w:pPr>
      <w:r>
        <w:rPr>
          <w:rFonts w:hint="eastAsia" w:ascii="仿宋" w:hAnsi="仿宋" w:eastAsia="仿宋" w:cs="仿宋"/>
          <w:b w:val="0"/>
          <w:bCs/>
          <w:kern w:val="0"/>
          <w:sz w:val="32"/>
          <w:szCs w:val="32"/>
          <w:lang w:val="en-US" w:eastAsia="zh-CN" w:bidi="ar-SA"/>
        </w:rPr>
        <w:t>建立了绩效评价报告反馈整改和绩效信息公开机制。每个项目绩效评价完成后，向全体班子成员反馈评价情况。</w:t>
      </w:r>
      <w:r>
        <w:rPr>
          <w:rFonts w:hint="default" w:ascii="仿宋" w:hAnsi="仿宋" w:eastAsia="仿宋" w:cs="仿宋"/>
          <w:b w:val="0"/>
          <w:bCs/>
          <w:kern w:val="0"/>
          <w:sz w:val="32"/>
          <w:szCs w:val="32"/>
          <w:lang w:val="en-US" w:eastAsia="zh-CN" w:bidi="ar-SA"/>
        </w:rPr>
        <w:t>资金使用较合理，绩效水平较好，</w:t>
      </w:r>
      <w:r>
        <w:rPr>
          <w:rFonts w:hint="eastAsia" w:ascii="仿宋" w:hAnsi="仿宋" w:eastAsia="仿宋"/>
          <w:sz w:val="32"/>
          <w:szCs w:val="32"/>
        </w:rPr>
        <w:t>保证了预算支出进度</w:t>
      </w:r>
      <w:r>
        <w:rPr>
          <w:rFonts w:hint="eastAsia" w:ascii="仿宋" w:hAnsi="仿宋" w:eastAsia="仿宋"/>
          <w:sz w:val="32"/>
          <w:szCs w:val="32"/>
          <w:lang w:eastAsia="zh-CN"/>
        </w:rPr>
        <w:t>，</w:t>
      </w:r>
      <w:r>
        <w:rPr>
          <w:rFonts w:hint="eastAsia" w:ascii="仿宋" w:hAnsi="仿宋" w:eastAsia="仿宋"/>
          <w:sz w:val="32"/>
          <w:szCs w:val="32"/>
        </w:rPr>
        <w:t>符合部门预算制定的绩效评价标准，</w:t>
      </w:r>
      <w:r>
        <w:rPr>
          <w:rFonts w:hint="eastAsia" w:ascii="仿宋" w:hAnsi="仿宋" w:eastAsia="仿宋" w:cs="仿宋"/>
          <w:b w:val="0"/>
          <w:bCs/>
          <w:kern w:val="0"/>
          <w:sz w:val="32"/>
          <w:szCs w:val="32"/>
          <w:lang w:val="en-US" w:eastAsia="zh-CN" w:bidi="ar-SA"/>
        </w:rPr>
        <w:t>绩效综合评价等级为“优”。</w:t>
      </w:r>
    </w:p>
    <w:p>
      <w:pPr>
        <w:pStyle w:val="3"/>
        <w:spacing w:before="0" w:after="0" w:line="584" w:lineRule="exact"/>
        <w:ind w:firstLine="640" w:firstLineChars="200"/>
        <w:rPr>
          <w:rFonts w:ascii="Times New Roman" w:hAnsi="Times New Roman" w:eastAsia="黑体"/>
          <w:b w:val="0"/>
        </w:rPr>
      </w:pPr>
      <w:r>
        <w:rPr>
          <w:rFonts w:ascii="Times New Roman" w:hAnsi="Times New Roman" w:eastAsia="黑体"/>
          <w:b w:val="0"/>
        </w:rPr>
        <w:t>七、其他重要事项的说明</w:t>
      </w:r>
    </w:p>
    <w:p>
      <w:pPr>
        <w:pStyle w:val="4"/>
        <w:spacing w:before="0" w:after="0" w:line="584" w:lineRule="exact"/>
        <w:ind w:firstLine="643" w:firstLineChars="200"/>
        <w:rPr>
          <w:rFonts w:ascii="楷体" w:hAnsi="楷体" w:eastAsia="楷体"/>
        </w:rPr>
      </w:pPr>
      <w:r>
        <w:rPr>
          <w:rFonts w:ascii="楷体" w:hAnsi="楷体" w:eastAsia="楷体"/>
        </w:rPr>
        <w:t>（一）机关运行经费情况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本部门2017年度机关运行经费支出</w:t>
      </w:r>
      <w:r>
        <w:rPr>
          <w:rFonts w:hint="eastAsia" w:ascii="仿宋" w:hAnsi="仿宋" w:eastAsia="仿宋"/>
          <w:sz w:val="32"/>
          <w:szCs w:val="32"/>
          <w:lang w:val="en-US" w:eastAsia="zh-CN"/>
        </w:rPr>
        <w:t>99.11</w:t>
      </w:r>
      <w:r>
        <w:rPr>
          <w:rFonts w:ascii="仿宋" w:hAnsi="仿宋" w:eastAsia="仿宋"/>
          <w:sz w:val="32"/>
          <w:szCs w:val="32"/>
        </w:rPr>
        <w:t>万元，比2016年度增加</w:t>
      </w:r>
      <w:r>
        <w:rPr>
          <w:rFonts w:hint="eastAsia" w:ascii="仿宋" w:hAnsi="仿宋" w:eastAsia="仿宋"/>
          <w:sz w:val="32"/>
          <w:szCs w:val="32"/>
          <w:lang w:val="en-US" w:eastAsia="zh-CN"/>
        </w:rPr>
        <w:t>36.84</w:t>
      </w:r>
      <w:r>
        <w:rPr>
          <w:rFonts w:ascii="仿宋" w:hAnsi="仿宋" w:eastAsia="仿宋"/>
          <w:sz w:val="32"/>
          <w:szCs w:val="32"/>
        </w:rPr>
        <w:t>万元，增长</w:t>
      </w:r>
      <w:r>
        <w:rPr>
          <w:rFonts w:hint="eastAsia" w:ascii="仿宋" w:hAnsi="仿宋" w:eastAsia="仿宋"/>
          <w:sz w:val="32"/>
          <w:szCs w:val="32"/>
          <w:lang w:val="en-US" w:eastAsia="zh-CN"/>
        </w:rPr>
        <w:t>59</w:t>
      </w:r>
      <w:r>
        <w:rPr>
          <w:rFonts w:ascii="仿宋" w:hAnsi="仿宋" w:eastAsia="仿宋"/>
          <w:sz w:val="32"/>
          <w:szCs w:val="32"/>
        </w:rPr>
        <w:t>%。主要原因是</w:t>
      </w:r>
      <w:r>
        <w:rPr>
          <w:rFonts w:hint="eastAsia" w:ascii="仿宋_GB2312" w:hAnsi="仿宋" w:eastAsia="仿宋_GB2312" w:cs="宋体"/>
          <w:kern w:val="0"/>
          <w:sz w:val="32"/>
          <w:szCs w:val="32"/>
          <w:lang w:val="en-US" w:eastAsia="zh-CN" w:bidi="ar-SA"/>
        </w:rPr>
        <w:t>物价上涨、业务量增大，所需人员工资、办公费、印刷费等费用相应增加</w:t>
      </w:r>
      <w:r>
        <w:rPr>
          <w:rFonts w:ascii="仿宋" w:hAnsi="仿宋" w:eastAsia="仿宋"/>
          <w:sz w:val="32"/>
          <w:szCs w:val="32"/>
        </w:rPr>
        <w:t>。</w:t>
      </w:r>
    </w:p>
    <w:p>
      <w:pPr>
        <w:pStyle w:val="4"/>
        <w:spacing w:before="0" w:after="0" w:line="584" w:lineRule="exact"/>
        <w:ind w:firstLine="643" w:firstLineChars="200"/>
        <w:rPr>
          <w:rFonts w:ascii="楷体" w:hAnsi="楷体" w:eastAsia="楷体"/>
        </w:rPr>
      </w:pPr>
      <w:r>
        <w:rPr>
          <w:rFonts w:ascii="楷体" w:hAnsi="楷体" w:eastAsia="楷体"/>
        </w:rPr>
        <w:t>（二）政府采购情</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本部门2017年度政府采购支出总额</w:t>
      </w:r>
      <w:r>
        <w:rPr>
          <w:rFonts w:hint="eastAsia" w:ascii="仿宋" w:hAnsi="仿宋" w:eastAsia="仿宋"/>
          <w:sz w:val="32"/>
          <w:szCs w:val="32"/>
          <w:lang w:val="en-US" w:eastAsia="zh-CN"/>
        </w:rPr>
        <w:t>0</w:t>
      </w:r>
      <w:r>
        <w:rPr>
          <w:rFonts w:ascii="仿宋" w:hAnsi="仿宋" w:eastAsia="仿宋"/>
          <w:sz w:val="32"/>
          <w:szCs w:val="32"/>
        </w:rPr>
        <w:t>万元，其中：政府采购货物支出</w:t>
      </w:r>
      <w:r>
        <w:rPr>
          <w:rFonts w:hint="eastAsia" w:ascii="仿宋" w:hAnsi="仿宋" w:eastAsia="仿宋"/>
          <w:sz w:val="32"/>
          <w:szCs w:val="32"/>
          <w:lang w:val="en-US" w:eastAsia="zh-CN"/>
        </w:rPr>
        <w:t>0</w:t>
      </w:r>
      <w:r>
        <w:rPr>
          <w:rFonts w:ascii="仿宋" w:hAnsi="仿宋" w:eastAsia="仿宋"/>
          <w:sz w:val="32"/>
          <w:szCs w:val="32"/>
        </w:rPr>
        <w:t>万元、政府采购工程支出</w:t>
      </w:r>
      <w:r>
        <w:rPr>
          <w:rFonts w:hint="eastAsia" w:ascii="仿宋" w:hAnsi="仿宋" w:eastAsia="仿宋"/>
          <w:sz w:val="32"/>
          <w:szCs w:val="32"/>
          <w:lang w:val="en-US" w:eastAsia="zh-CN"/>
        </w:rPr>
        <w:t>0</w:t>
      </w:r>
      <w:r>
        <w:rPr>
          <w:rFonts w:ascii="仿宋" w:hAnsi="仿宋" w:eastAsia="仿宋"/>
          <w:sz w:val="32"/>
          <w:szCs w:val="32"/>
        </w:rPr>
        <w:t>万元、政府采购服务支出</w:t>
      </w:r>
      <w:r>
        <w:rPr>
          <w:rFonts w:hint="eastAsia" w:ascii="仿宋" w:hAnsi="仿宋" w:eastAsia="仿宋"/>
          <w:sz w:val="32"/>
          <w:szCs w:val="32"/>
          <w:lang w:val="en-US" w:eastAsia="zh-CN"/>
        </w:rPr>
        <w:t>0</w:t>
      </w:r>
      <w:r>
        <w:rPr>
          <w:rFonts w:ascii="仿宋" w:hAnsi="仿宋" w:eastAsia="仿宋"/>
          <w:sz w:val="32"/>
          <w:szCs w:val="32"/>
        </w:rPr>
        <w:t>万元。</w:t>
      </w:r>
    </w:p>
    <w:p>
      <w:pPr>
        <w:pStyle w:val="4"/>
        <w:spacing w:before="0" w:after="0" w:line="584" w:lineRule="exact"/>
        <w:ind w:firstLine="643" w:firstLineChars="200"/>
        <w:rPr>
          <w:rFonts w:ascii="楷体" w:hAnsi="楷体" w:eastAsia="楷体"/>
        </w:rPr>
      </w:pPr>
      <w:r>
        <w:rPr>
          <w:rFonts w:ascii="楷体" w:hAnsi="楷体" w:eastAsia="楷体"/>
        </w:rPr>
        <w:t>（三）国有资产占用情况</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截至2017年12月31日，本部门共有车辆</w:t>
      </w:r>
      <w:r>
        <w:rPr>
          <w:rFonts w:hint="eastAsia" w:ascii="仿宋" w:hAnsi="仿宋" w:eastAsia="仿宋"/>
          <w:sz w:val="32"/>
          <w:szCs w:val="32"/>
          <w:lang w:val="en-US" w:eastAsia="zh-CN"/>
        </w:rPr>
        <w:t>1</w:t>
      </w:r>
      <w:r>
        <w:rPr>
          <w:rFonts w:ascii="仿宋" w:hAnsi="仿宋" w:eastAsia="仿宋"/>
          <w:sz w:val="32"/>
          <w:szCs w:val="32"/>
        </w:rPr>
        <w:t>辆，其中，市级领导干部用车</w:t>
      </w:r>
      <w:r>
        <w:rPr>
          <w:rFonts w:hint="eastAsia" w:ascii="仿宋" w:hAnsi="仿宋" w:eastAsia="仿宋"/>
          <w:sz w:val="32"/>
          <w:szCs w:val="32"/>
          <w:lang w:val="en-US" w:eastAsia="zh-CN"/>
        </w:rPr>
        <w:t>0</w:t>
      </w:r>
      <w:r>
        <w:rPr>
          <w:rFonts w:ascii="仿宋" w:hAnsi="仿宋" w:eastAsia="仿宋"/>
          <w:sz w:val="32"/>
          <w:szCs w:val="32"/>
        </w:rPr>
        <w:t>辆、一般公务用车</w:t>
      </w:r>
      <w:r>
        <w:rPr>
          <w:rFonts w:hint="eastAsia" w:ascii="仿宋" w:hAnsi="仿宋" w:eastAsia="仿宋"/>
          <w:sz w:val="32"/>
          <w:szCs w:val="32"/>
          <w:lang w:val="en-US" w:eastAsia="zh-CN"/>
        </w:rPr>
        <w:t>1</w:t>
      </w:r>
      <w:r>
        <w:rPr>
          <w:rFonts w:ascii="仿宋" w:hAnsi="仿宋" w:eastAsia="仿宋"/>
          <w:sz w:val="32"/>
          <w:szCs w:val="32"/>
        </w:rPr>
        <w:t>辆、一般执法执勤用车</w:t>
      </w:r>
      <w:r>
        <w:rPr>
          <w:rFonts w:hint="eastAsia" w:ascii="仿宋" w:hAnsi="仿宋" w:eastAsia="仿宋"/>
          <w:sz w:val="32"/>
          <w:szCs w:val="32"/>
          <w:lang w:val="en-US" w:eastAsia="zh-CN"/>
        </w:rPr>
        <w:t>0</w:t>
      </w:r>
      <w:r>
        <w:rPr>
          <w:rFonts w:ascii="仿宋" w:hAnsi="仿宋" w:eastAsia="仿宋"/>
          <w:sz w:val="32"/>
          <w:szCs w:val="32"/>
        </w:rPr>
        <w:t>辆、特种专业技术用车</w:t>
      </w:r>
      <w:r>
        <w:rPr>
          <w:rFonts w:hint="eastAsia" w:ascii="仿宋" w:hAnsi="仿宋" w:eastAsia="仿宋"/>
          <w:sz w:val="32"/>
          <w:szCs w:val="32"/>
          <w:lang w:val="en-US" w:eastAsia="zh-CN"/>
        </w:rPr>
        <w:t>0</w:t>
      </w:r>
      <w:r>
        <w:rPr>
          <w:rFonts w:ascii="仿宋" w:hAnsi="仿宋" w:eastAsia="仿宋"/>
          <w:sz w:val="32"/>
          <w:szCs w:val="32"/>
        </w:rPr>
        <w:t>辆、其他用车</w:t>
      </w:r>
      <w:r>
        <w:rPr>
          <w:rFonts w:hint="eastAsia" w:ascii="仿宋" w:hAnsi="仿宋" w:eastAsia="仿宋"/>
          <w:sz w:val="32"/>
          <w:szCs w:val="32"/>
          <w:lang w:val="en-US" w:eastAsia="zh-CN"/>
        </w:rPr>
        <w:t>0</w:t>
      </w:r>
      <w:r>
        <w:rPr>
          <w:rFonts w:ascii="仿宋" w:hAnsi="仿宋" w:eastAsia="仿宋"/>
          <w:sz w:val="32"/>
          <w:szCs w:val="32"/>
        </w:rPr>
        <w:t>辆；单位价值50万元以上大型设备</w:t>
      </w:r>
      <w:r>
        <w:rPr>
          <w:rFonts w:hint="eastAsia" w:ascii="仿宋" w:hAnsi="仿宋" w:eastAsia="仿宋"/>
          <w:sz w:val="32"/>
          <w:szCs w:val="32"/>
          <w:lang w:val="en-US" w:eastAsia="zh-CN"/>
        </w:rPr>
        <w:t>0</w:t>
      </w:r>
      <w:r>
        <w:rPr>
          <w:rFonts w:ascii="仿宋" w:hAnsi="仿宋" w:eastAsia="仿宋"/>
          <w:sz w:val="32"/>
          <w:szCs w:val="32"/>
        </w:rPr>
        <w:t>台（套），单位价值100万元以上大型设备</w:t>
      </w:r>
      <w:r>
        <w:rPr>
          <w:rFonts w:hint="eastAsia" w:ascii="仿宋" w:hAnsi="仿宋" w:eastAsia="仿宋"/>
          <w:sz w:val="32"/>
          <w:szCs w:val="32"/>
          <w:lang w:val="en-US" w:eastAsia="zh-CN"/>
        </w:rPr>
        <w:t>0</w:t>
      </w:r>
      <w:r>
        <w:rPr>
          <w:rFonts w:ascii="仿宋" w:hAnsi="仿宋" w:eastAsia="仿宋"/>
          <w:sz w:val="32"/>
          <w:szCs w:val="32"/>
        </w:rPr>
        <w:t>台（套）。</w:t>
      </w:r>
    </w:p>
    <w:p>
      <w:pPr>
        <w:pStyle w:val="4"/>
        <w:spacing w:before="0" w:after="0" w:line="584" w:lineRule="exact"/>
        <w:ind w:firstLine="643" w:firstLineChars="200"/>
        <w:rPr>
          <w:rFonts w:ascii="楷体" w:hAnsi="楷体" w:eastAsia="楷体"/>
        </w:rPr>
      </w:pPr>
      <w:r>
        <w:rPr>
          <w:rFonts w:ascii="楷体" w:hAnsi="楷体" w:eastAsia="楷体"/>
        </w:rPr>
        <w:t>（四）其他需要说明的情况</w:t>
      </w:r>
    </w:p>
    <w:p>
      <w:pPr>
        <w:adjustRightInd w:val="0"/>
        <w:snapToGrid w:val="0"/>
        <w:spacing w:line="584" w:lineRule="exact"/>
        <w:ind w:firstLine="640" w:firstLineChars="200"/>
        <w:rPr>
          <w:rFonts w:hint="eastAsia" w:ascii="仿宋" w:hAnsi="仿宋" w:eastAsia="仿宋"/>
          <w:sz w:val="32"/>
          <w:szCs w:val="32"/>
          <w:lang w:eastAsia="zh-CN"/>
        </w:rPr>
      </w:pPr>
      <w:r>
        <w:rPr>
          <w:rFonts w:ascii="仿宋" w:hAnsi="仿宋" w:eastAsia="仿宋"/>
          <w:sz w:val="32"/>
          <w:szCs w:val="32"/>
        </w:rPr>
        <w:t>1、本部门2017年度</w:t>
      </w:r>
      <w:r>
        <w:rPr>
          <w:rFonts w:hint="eastAsia" w:ascii="仿宋" w:hAnsi="仿宋" w:eastAsia="仿宋"/>
          <w:sz w:val="32"/>
          <w:szCs w:val="32"/>
        </w:rPr>
        <w:t>政府性基金预算财政拨款</w:t>
      </w:r>
      <w:r>
        <w:rPr>
          <w:rFonts w:ascii="仿宋" w:hAnsi="仿宋" w:eastAsia="仿宋"/>
          <w:sz w:val="32"/>
          <w:szCs w:val="32"/>
        </w:rPr>
        <w:t>无收支及结转结余情况，故</w:t>
      </w:r>
      <w:r>
        <w:rPr>
          <w:rFonts w:hint="eastAsia" w:ascii="仿宋" w:hAnsi="仿宋" w:eastAsia="仿宋"/>
          <w:sz w:val="32"/>
          <w:szCs w:val="32"/>
        </w:rPr>
        <w:t>政府性基金预算财政拨款收入支出决算表</w:t>
      </w:r>
      <w:r>
        <w:rPr>
          <w:rFonts w:ascii="仿宋" w:hAnsi="仿宋" w:eastAsia="仿宋"/>
          <w:sz w:val="32"/>
          <w:szCs w:val="32"/>
        </w:rPr>
        <w:t>以空表列示</w:t>
      </w:r>
      <w:r>
        <w:rPr>
          <w:rFonts w:hint="eastAsia" w:ascii="仿宋" w:hAnsi="仿宋" w:eastAsia="仿宋"/>
          <w:sz w:val="32"/>
          <w:szCs w:val="32"/>
          <w:lang w:val="en-US" w:eastAsia="zh-CN"/>
        </w:rPr>
        <w:t>；</w:t>
      </w:r>
      <w:r>
        <w:rPr>
          <w:rFonts w:hint="eastAsia" w:ascii="仿宋" w:hAnsi="仿宋" w:eastAsia="仿宋"/>
          <w:sz w:val="32"/>
          <w:szCs w:val="32"/>
        </w:rPr>
        <w:t>国有资本经营预算财政拨款</w:t>
      </w:r>
      <w:r>
        <w:rPr>
          <w:rFonts w:ascii="仿宋" w:hAnsi="仿宋" w:eastAsia="仿宋"/>
          <w:sz w:val="32"/>
          <w:szCs w:val="32"/>
        </w:rPr>
        <w:t>无收支及结转结余情况，故</w:t>
      </w:r>
      <w:r>
        <w:rPr>
          <w:rFonts w:hint="eastAsia" w:ascii="仿宋" w:hAnsi="仿宋" w:eastAsia="仿宋"/>
          <w:sz w:val="32"/>
          <w:szCs w:val="32"/>
        </w:rPr>
        <w:t>国有资本经营预算财政拨款收入支出决算表</w:t>
      </w:r>
      <w:r>
        <w:rPr>
          <w:rFonts w:ascii="仿宋" w:hAnsi="仿宋" w:eastAsia="仿宋"/>
          <w:sz w:val="32"/>
          <w:szCs w:val="32"/>
        </w:rPr>
        <w:t>以空表列示</w:t>
      </w:r>
      <w:r>
        <w:rPr>
          <w:rFonts w:hint="eastAsia" w:ascii="仿宋" w:hAnsi="仿宋" w:eastAsia="仿宋"/>
          <w:sz w:val="32"/>
          <w:szCs w:val="32"/>
          <w:lang w:val="en-US" w:eastAsia="zh-CN"/>
        </w:rPr>
        <w:t>；</w:t>
      </w:r>
      <w:r>
        <w:rPr>
          <w:rFonts w:hint="eastAsia" w:ascii="仿宋" w:hAnsi="仿宋" w:eastAsia="仿宋"/>
          <w:sz w:val="32"/>
          <w:szCs w:val="32"/>
        </w:rPr>
        <w:t>政府采购</w:t>
      </w:r>
      <w:r>
        <w:rPr>
          <w:rFonts w:ascii="仿宋" w:hAnsi="仿宋" w:eastAsia="仿宋"/>
          <w:sz w:val="32"/>
          <w:szCs w:val="32"/>
        </w:rPr>
        <w:t>无收支及结转结余情况，故</w:t>
      </w:r>
      <w:r>
        <w:rPr>
          <w:rFonts w:hint="eastAsia" w:ascii="仿宋" w:hAnsi="仿宋" w:eastAsia="仿宋"/>
          <w:sz w:val="32"/>
          <w:szCs w:val="32"/>
        </w:rPr>
        <w:t>政府采购情况表</w:t>
      </w:r>
      <w:r>
        <w:rPr>
          <w:rFonts w:ascii="仿宋" w:hAnsi="仿宋" w:eastAsia="仿宋"/>
          <w:sz w:val="32"/>
          <w:szCs w:val="32"/>
        </w:rPr>
        <w:t>以空表列示</w:t>
      </w:r>
      <w:r>
        <w:rPr>
          <w:rFonts w:hint="eastAsia" w:ascii="仿宋" w:hAnsi="仿宋" w:eastAsia="仿宋"/>
          <w:sz w:val="32"/>
          <w:szCs w:val="32"/>
          <w:lang w:eastAsia="zh-CN"/>
        </w:rPr>
        <w:t>。</w:t>
      </w:r>
    </w:p>
    <w:p>
      <w:pPr>
        <w:adjustRightInd w:val="0"/>
        <w:snapToGrid w:val="0"/>
        <w:spacing w:line="584" w:lineRule="exact"/>
        <w:ind w:firstLine="640" w:firstLineChars="200"/>
        <w:rPr>
          <w:rFonts w:ascii="仿宋" w:hAnsi="仿宋" w:eastAsia="仿宋"/>
          <w:sz w:val="32"/>
          <w:szCs w:val="32"/>
        </w:rPr>
      </w:pPr>
      <w:r>
        <w:rPr>
          <w:rFonts w:ascii="仿宋" w:hAnsi="仿宋" w:eastAsia="仿宋"/>
          <w:sz w:val="32"/>
          <w:szCs w:val="32"/>
        </w:rPr>
        <w:t>2、由于决算公开表格中金额数值应当保留两位小数，公开数据为四舍五入计算结果，个别数据合计项与分项之和存在小数点后差额，特此说明。</w:t>
      </w:r>
    </w:p>
    <w:p>
      <w:pPr>
        <w:adjustRightInd w:val="0"/>
        <w:snapToGrid w:val="0"/>
        <w:spacing w:line="584" w:lineRule="exact"/>
        <w:ind w:firstLine="640" w:firstLineChars="200"/>
        <w:rPr>
          <w:rFonts w:ascii="仿宋" w:hAnsi="仿宋" w:eastAsia="仿宋"/>
          <w:sz w:val="32"/>
          <w:szCs w:val="32"/>
        </w:rPr>
      </w:pPr>
    </w:p>
    <w:p>
      <w:pPr>
        <w:pStyle w:val="2"/>
        <w:spacing w:before="0" w:after="0" w:line="584" w:lineRule="exact"/>
        <w:jc w:val="center"/>
        <w:rPr>
          <w:rFonts w:eastAsia="方正小标宋简体"/>
          <w:b w:val="0"/>
        </w:rPr>
      </w:pPr>
      <w:r>
        <w:rPr>
          <w:rFonts w:eastAsia="方正小标宋简体"/>
          <w:b w:val="0"/>
        </w:rPr>
        <w:t>第四部分名词解释</w:t>
      </w:r>
    </w:p>
    <w:p>
      <w:pPr>
        <w:spacing w:line="584" w:lineRule="exact"/>
      </w:pP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（一）财政拨款收入：本年度从本级财政部门取得的财政拨款，包括一般公共预算财政拨款和政府性基金预算财政拨款。</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（二）事业收入：指事业单位开展专业业务活动及辅助活动所取得的收入。</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（三）其他收入：指除上述“财政拨款收入”、“事业收入”、“经营收入”等以外的收入。</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（五）年初结转和结余：指以前年度尚未完成、结转到本年仍按原规定用途继续使用的资金，或项目已完成等产生的结余资金。</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（六）结余分配：指事业单位按照事业单位会计制度的规定从非财政补助结余中分配的事业基金和职工福利基金等。</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（七）年末结转和结余：指单位按有关规定结转到下年或以后年度继续使用的资金，或项目已完成等产生的结余资金。</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（八）基本支出：填列单位为保障机构正常运转、完成日常工作任务而发生的各项支出。</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（九）项目支出：填列单位为完成特定的行政工作任务或事业发展目标，在基本支出之外发生的各项支出</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（十一）其他资本性支出：填列由各级非发展与改革部门集中安排的用于购置固定资产、战</w:t>
      </w:r>
      <w:r>
        <w:rPr>
          <w:rFonts w:hint="eastAsia" w:ascii="仿宋" w:hAnsi="仿宋" w:eastAsia="仿宋"/>
          <w:color w:val="000000"/>
          <w:kern w:val="0"/>
          <w:sz w:val="32"/>
          <w:szCs w:val="32"/>
        </w:rPr>
        <w:t>略</w:t>
      </w:r>
      <w:r>
        <w:rPr>
          <w:rFonts w:ascii="仿宋" w:hAnsi="仿宋" w:eastAsia="仿宋"/>
          <w:color w:val="000000"/>
          <w:kern w:val="0"/>
          <w:sz w:val="32"/>
          <w:szCs w:val="32"/>
        </w:rPr>
        <w:t>性和应急性储备、土地和无形资产，以及购建基础设施、大型修缮和财政支持企业更新改造所发生的支出。</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（十三）其他交通费用：填列单位除公务用车运行维护费以外的其他交通费用。如飞机、船舶等的燃料费、维修费、过桥过路费、保险费、出租车费用、公务交通补贴等。</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（十四）公务用车购置：填列单位公务用车车辆购置支出（含车辆购置税）。</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（十五）其他交通工具购置：填列单位除公务用车外的其他各类交通工具（如船舶、飞机）购置支出（含车辆购置税）。</w:t>
      </w:r>
    </w:p>
    <w:p>
      <w:pPr>
        <w:spacing w:line="584" w:lineRule="exact"/>
        <w:ind w:firstLine="640" w:firstLineChars="200"/>
        <w:rPr>
          <w:rFonts w:ascii="仿宋" w:hAnsi="仿宋" w:eastAsia="仿宋"/>
          <w:color w:val="000000"/>
          <w:kern w:val="0"/>
          <w:sz w:val="32"/>
          <w:szCs w:val="32"/>
        </w:rPr>
      </w:pPr>
      <w:r>
        <w:rPr>
          <w:rFonts w:ascii="仿宋" w:hAnsi="仿宋" w:eastAsia="仿宋"/>
          <w:color w:val="000000"/>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sectPr>
      <w:footerReference r:id="rId5" w:type="default"/>
      <w:pgSz w:w="16838" w:h="11906" w:orient="landscape"/>
      <w:pgMar w:top="1531" w:right="1984" w:bottom="1531" w:left="1984" w:header="851" w:footer="992" w:gutter="0"/>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20" w:leftChars="200" w:right="420" w:rightChars="20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24</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03F3FAB"/>
    <w:multiLevelType w:val="singleLevel"/>
    <w:tmpl w:val="E03F3FAB"/>
    <w:lvl w:ilvl="0" w:tentative="0">
      <w:start w:val="2"/>
      <w:numFmt w:val="chineseCounting"/>
      <w:suff w:val="space"/>
      <w:lvlText w:val="第%1部分"/>
      <w:lvlJc w:val="left"/>
      <w:rPr>
        <w:rFonts w:hint="eastAsia"/>
      </w:rPr>
    </w:lvl>
  </w:abstractNum>
  <w:abstractNum w:abstractNumId="1">
    <w:nsid w:val="F1764FCB"/>
    <w:multiLevelType w:val="singleLevel"/>
    <w:tmpl w:val="F1764FCB"/>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831709"/>
    <w:rsid w:val="09DE4B61"/>
    <w:rsid w:val="0B3A3DB6"/>
    <w:rsid w:val="4C1C4F2A"/>
    <w:rsid w:val="4C763ACA"/>
    <w:rsid w:val="520D6E26"/>
    <w:rsid w:val="7E8317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0"/>
    <w:pPr>
      <w:spacing w:line="0" w:lineRule="atLeast"/>
    </w:pPr>
    <w:rPr>
      <w:rFonts w:eastAsia="小标宋"/>
      <w:sz w:val="44"/>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FollowedHyperlink"/>
    <w:basedOn w:val="8"/>
    <w:uiPriority w:val="0"/>
    <w:rPr>
      <w:color w:val="333333"/>
      <w:u w:val="none"/>
    </w:rPr>
  </w:style>
  <w:style w:type="character" w:styleId="10">
    <w:name w:val="Hyperlink"/>
    <w:basedOn w:val="8"/>
    <w:uiPriority w:val="0"/>
    <w:rPr>
      <w:color w:val="333333"/>
      <w:u w:val="none"/>
    </w:rPr>
  </w:style>
  <w:style w:type="character" w:customStyle="1" w:styleId="12">
    <w:name w:val="right"/>
    <w:basedOn w:val="8"/>
    <w:uiPriority w:val="0"/>
  </w:style>
  <w:style w:type="character" w:customStyle="1" w:styleId="13">
    <w:name w:val="left"/>
    <w:basedOn w:val="8"/>
    <w:uiPriority w:val="0"/>
  </w:style>
  <w:style w:type="character" w:customStyle="1" w:styleId="14">
    <w:name w:val="disabled"/>
    <w:basedOn w:val="8"/>
    <w:uiPriority w:val="0"/>
    <w:rPr>
      <w:color w:val="CCCCCC"/>
      <w:bdr w:val="single" w:color="CCCCCC" w:sz="6" w:space="0"/>
      <w:shd w:val="clear" w:fill="FFFFFF"/>
    </w:rPr>
  </w:style>
  <w:style w:type="character" w:customStyle="1" w:styleId="15">
    <w:name w:val="bsharetext"/>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2018-11-29T07:45:00Z</dcterms:created>
  <dc:creator>lenovo</dc:creator>
  <cp:lastModifiedBy>lenovo</cp:lastModifiedBy>
  <cp:lastPrinted>2018-11-29T08:09:00Z</cp:lastPrinted>
  <dcterms:modified xsi:type="dcterms:W3CDTF">2018-11-30T07:51:21Z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